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2F" w:rsidRPr="0001522F" w:rsidRDefault="0001522F" w:rsidP="0001522F">
      <w:pPr>
        <w:ind w:firstLine="720"/>
        <w:rPr>
          <w:b/>
        </w:rPr>
      </w:pPr>
      <w:r w:rsidRPr="0001522F">
        <w:rPr>
          <w:b/>
        </w:rPr>
        <w:t>Class Notes – Ch. 2 TCW</w:t>
      </w:r>
    </w:p>
    <w:p w:rsidR="0001522F" w:rsidRPr="0001522F" w:rsidRDefault="0001522F" w:rsidP="0001522F">
      <w:pPr>
        <w:ind w:firstLine="720"/>
        <w:rPr>
          <w:b/>
        </w:rPr>
      </w:pPr>
      <w:r w:rsidRPr="0001522F">
        <w:rPr>
          <w:b/>
          <w:highlight w:val="yellow"/>
        </w:rPr>
        <w:t>1. Connections between language and learning</w:t>
      </w:r>
    </w:p>
    <w:p w:rsidR="0001522F" w:rsidRDefault="0001522F" w:rsidP="0001522F">
      <w:r>
        <w:tab/>
        <w:t>Have you noticed language or word usage peculiar to the field of your major?</w:t>
      </w:r>
    </w:p>
    <w:p w:rsidR="0001522F" w:rsidRDefault="0001522F" w:rsidP="0001522F">
      <w:r>
        <w:tab/>
      </w:r>
      <w:r>
        <w:tab/>
        <w:t xml:space="preserve">Pitch – (music-) relative highness or lowness of a musical </w:t>
      </w:r>
    </w:p>
    <w:p w:rsidR="0001522F" w:rsidRDefault="0001522F" w:rsidP="0001522F">
      <w:r>
        <w:tab/>
      </w:r>
      <w:r>
        <w:tab/>
        <w:t>Pitch – (marketing) – sales “pitch”</w:t>
      </w:r>
    </w:p>
    <w:p w:rsidR="0001522F" w:rsidRDefault="0001522F" w:rsidP="0001522F">
      <w:pPr>
        <w:ind w:left="1440"/>
      </w:pPr>
      <w:r>
        <w:t>Pitch – (sports) baseball – throwing the ball – soccer – the field upon which the game is played.</w:t>
      </w:r>
    </w:p>
    <w:p w:rsidR="0001522F" w:rsidRDefault="0001522F" w:rsidP="0001522F">
      <w:r>
        <w:tab/>
      </w:r>
      <w:r>
        <w:tab/>
        <w:t>Pitch – (colloquial language) – pitch a fit</w:t>
      </w:r>
    </w:p>
    <w:p w:rsidR="0001522F" w:rsidRDefault="0001522F" w:rsidP="0001522F">
      <w:r>
        <w:tab/>
        <w:t>Have you noticed technical language in the classroom?</w:t>
      </w:r>
    </w:p>
    <w:p w:rsidR="0001522F" w:rsidRDefault="0001522F" w:rsidP="0001522F">
      <w:r>
        <w:tab/>
        <w:t xml:space="preserve">How might our use of language as a writer, reader, speaker, and listener determine success in </w:t>
      </w:r>
      <w:r>
        <w:tab/>
      </w:r>
      <w:r>
        <w:tab/>
        <w:t>our coursework?</w:t>
      </w:r>
      <w:r w:rsidR="00EE13A4">
        <w:t xml:space="preserve"> (p.19)</w:t>
      </w:r>
    </w:p>
    <w:p w:rsidR="0001522F" w:rsidRDefault="0001522F" w:rsidP="0001522F">
      <w:r>
        <w:tab/>
        <w:t>What event led to Linda’s (student from Korea) “ah-ha” moment?</w:t>
      </w:r>
      <w:r w:rsidR="00EE13A4">
        <w:t xml:space="preserve"> (p.18)</w:t>
      </w:r>
    </w:p>
    <w:p w:rsidR="0001522F" w:rsidRDefault="0001522F" w:rsidP="0001522F">
      <w:pPr>
        <w:ind w:left="720"/>
      </w:pPr>
      <w:r>
        <w:t>How might a native speaker of English encounter such a moment—aside from entering a language class?</w:t>
      </w:r>
    </w:p>
    <w:p w:rsidR="0001522F" w:rsidRDefault="0001522F" w:rsidP="0001522F">
      <w:pPr>
        <w:ind w:left="720"/>
      </w:pPr>
      <w:r>
        <w:t>What other activities are discussed in the chapter in relation to language?</w:t>
      </w:r>
      <w:r w:rsidR="00EE13A4">
        <w:t xml:space="preserve"> (p.19)</w:t>
      </w:r>
    </w:p>
    <w:p w:rsidR="0001522F" w:rsidRDefault="0001522F" w:rsidP="0001522F">
      <w:pPr>
        <w:ind w:left="720"/>
      </w:pPr>
      <w:r>
        <w:t>Explain how language might help one understand differing course designs and/or expectations of different courses?</w:t>
      </w:r>
      <w:r w:rsidR="00EE13A4">
        <w:t xml:space="preserve"> (p.19-20)</w:t>
      </w:r>
    </w:p>
    <w:p w:rsidR="0001522F" w:rsidRPr="0001522F" w:rsidRDefault="0001522F" w:rsidP="0001522F">
      <w:pPr>
        <w:ind w:left="720"/>
        <w:rPr>
          <w:b/>
        </w:rPr>
      </w:pPr>
      <w:r w:rsidRPr="0001522F">
        <w:rPr>
          <w:b/>
          <w:highlight w:val="yellow"/>
        </w:rPr>
        <w:t>2. Consider note taking –</w:t>
      </w:r>
    </w:p>
    <w:p w:rsidR="00EE13A4" w:rsidRPr="00616372" w:rsidRDefault="00EE13A4" w:rsidP="0001522F">
      <w:pPr>
        <w:ind w:left="720"/>
        <w:rPr>
          <w:i/>
        </w:rPr>
      </w:pPr>
      <w:r w:rsidRPr="00616372">
        <w:rPr>
          <w:i/>
        </w:rPr>
        <w:t>Questions to consider:</w:t>
      </w:r>
      <w:r w:rsidR="0001522F" w:rsidRPr="00616372">
        <w:rPr>
          <w:i/>
        </w:rPr>
        <w:t xml:space="preserve"> </w:t>
      </w:r>
    </w:p>
    <w:p w:rsidR="0001522F" w:rsidRPr="00616372" w:rsidRDefault="0001522F" w:rsidP="0001522F">
      <w:pPr>
        <w:ind w:left="720"/>
        <w:rPr>
          <w:i/>
        </w:rPr>
      </w:pPr>
      <w:r w:rsidRPr="00616372">
        <w:rPr>
          <w:i/>
        </w:rPr>
        <w:tab/>
        <w:t>Is there a connection between language and note taking?</w:t>
      </w:r>
    </w:p>
    <w:p w:rsidR="0001522F" w:rsidRPr="00616372" w:rsidRDefault="0001522F" w:rsidP="0001522F">
      <w:pPr>
        <w:ind w:left="720"/>
        <w:rPr>
          <w:i/>
        </w:rPr>
      </w:pPr>
      <w:r w:rsidRPr="00616372">
        <w:rPr>
          <w:i/>
        </w:rPr>
        <w:tab/>
        <w:t>Do you have any particular note taking strategy that you use consistently?</w:t>
      </w:r>
    </w:p>
    <w:p w:rsidR="0001522F" w:rsidRPr="00616372" w:rsidRDefault="0001522F" w:rsidP="0001522F">
      <w:pPr>
        <w:ind w:left="720"/>
        <w:rPr>
          <w:i/>
        </w:rPr>
      </w:pPr>
      <w:r w:rsidRPr="00616372">
        <w:rPr>
          <w:i/>
        </w:rPr>
        <w:tab/>
        <w:t>Is there a need to change note taking strategies?</w:t>
      </w:r>
    </w:p>
    <w:p w:rsidR="0001522F" w:rsidRPr="00616372" w:rsidRDefault="0001522F" w:rsidP="0001522F">
      <w:pPr>
        <w:ind w:left="1440"/>
        <w:rPr>
          <w:i/>
        </w:rPr>
      </w:pPr>
      <w:r w:rsidRPr="00616372">
        <w:rPr>
          <w:i/>
        </w:rPr>
        <w:t xml:space="preserve">Explain how using the same note taking strategy across the disciplines is akin to Marie’s situation in chapter 1. </w:t>
      </w:r>
    </w:p>
    <w:p w:rsidR="0001522F" w:rsidRPr="00616372" w:rsidRDefault="0001522F" w:rsidP="0001522F">
      <w:pPr>
        <w:ind w:left="720"/>
        <w:rPr>
          <w:i/>
        </w:rPr>
      </w:pPr>
      <w:r w:rsidRPr="00616372">
        <w:rPr>
          <w:i/>
        </w:rPr>
        <w:tab/>
        <w:t>How does reading the material prior to class help when it comes to taking notes?</w:t>
      </w:r>
    </w:p>
    <w:p w:rsidR="0001522F" w:rsidRPr="00616372" w:rsidRDefault="0001522F" w:rsidP="0001522F">
      <w:pPr>
        <w:ind w:left="1440"/>
        <w:rPr>
          <w:i/>
        </w:rPr>
      </w:pPr>
      <w:r w:rsidRPr="00616372">
        <w:rPr>
          <w:i/>
        </w:rPr>
        <w:t>How might double-entry notes help one to make a better connection with materials in class?</w:t>
      </w:r>
    </w:p>
    <w:p w:rsidR="00EE13A4" w:rsidRDefault="00EE13A4" w:rsidP="00EE13A4">
      <w:r>
        <w:tab/>
      </w:r>
    </w:p>
    <w:p w:rsidR="00EE13A4" w:rsidRDefault="00EE13A4" w:rsidP="00EE13A4">
      <w:pPr>
        <w:ind w:firstLine="720"/>
      </w:pPr>
      <w:r>
        <w:lastRenderedPageBreak/>
        <w:t>Notes:</w:t>
      </w:r>
    </w:p>
    <w:p w:rsidR="00EE13A4" w:rsidRDefault="00EE13A4" w:rsidP="00EE13A4">
      <w:pPr>
        <w:pStyle w:val="ListParagraph"/>
        <w:numPr>
          <w:ilvl w:val="0"/>
          <w:numId w:val="2"/>
        </w:numPr>
      </w:pPr>
      <w:r>
        <w:t>Connection between language and note taking?</w:t>
      </w:r>
    </w:p>
    <w:p w:rsidR="00EE13A4" w:rsidRDefault="00EE13A4" w:rsidP="00EE13A4">
      <w:pPr>
        <w:pStyle w:val="ListParagraph"/>
        <w:ind w:left="2160"/>
      </w:pPr>
      <w:r>
        <w:t>-think of note taking as a kind of writing (p.21)</w:t>
      </w:r>
    </w:p>
    <w:p w:rsidR="00EE13A4" w:rsidRDefault="00EE13A4" w:rsidP="00EE13A4">
      <w:pPr>
        <w:ind w:left="720" w:firstLine="720"/>
      </w:pPr>
      <w:r>
        <w:t>b.     Give listening the priority over writing (p.22)</w:t>
      </w:r>
    </w:p>
    <w:p w:rsidR="00EE13A4" w:rsidRDefault="00EE13A4" w:rsidP="00EE13A4">
      <w:pPr>
        <w:ind w:left="2160"/>
      </w:pPr>
      <w:r>
        <w:t>-trying to write down everything, you will fall behind and miss substantial portions of the lecture</w:t>
      </w:r>
    </w:p>
    <w:p w:rsidR="00EE13A4" w:rsidRDefault="00EE13A4" w:rsidP="00EE13A4">
      <w:pPr>
        <w:ind w:left="2160"/>
      </w:pPr>
      <w:r>
        <w:t>-Put writing in the service of listening, understanding, and remembering</w:t>
      </w:r>
    </w:p>
    <w:p w:rsidR="00616372" w:rsidRDefault="00616372" w:rsidP="00616372">
      <w:r>
        <w:tab/>
      </w:r>
      <w:r>
        <w:tab/>
        <w:t>c. Suggestions: (pgs.22-23)</w:t>
      </w:r>
    </w:p>
    <w:p w:rsidR="00616372" w:rsidRDefault="00616372" w:rsidP="00616372">
      <w:r>
        <w:tab/>
      </w:r>
      <w:r>
        <w:tab/>
      </w:r>
      <w:r>
        <w:tab/>
        <w:t>-Do assigned readings before the lecture, not after</w:t>
      </w:r>
    </w:p>
    <w:p w:rsidR="00616372" w:rsidRDefault="00616372" w:rsidP="00616372">
      <w:r>
        <w:tab/>
      </w:r>
      <w:r>
        <w:tab/>
      </w:r>
      <w:r>
        <w:tab/>
        <w:t>-Listen for the structure of the lecture</w:t>
      </w:r>
    </w:p>
    <w:p w:rsidR="00616372" w:rsidRDefault="00616372" w:rsidP="00616372">
      <w:r>
        <w:tab/>
      </w:r>
      <w:r>
        <w:tab/>
      </w:r>
      <w:r>
        <w:tab/>
        <w:t>-Fill in details and perspectives shortly after the lecture</w:t>
      </w:r>
    </w:p>
    <w:p w:rsidR="00616372" w:rsidRDefault="00616372" w:rsidP="00616372">
      <w:r>
        <w:tab/>
      </w:r>
      <w:r>
        <w:tab/>
      </w:r>
      <w:r>
        <w:tab/>
        <w:t>-Adapt your note-taking strategies to the type and design of the course</w:t>
      </w:r>
    </w:p>
    <w:p w:rsidR="00616372" w:rsidRDefault="00616372" w:rsidP="00616372">
      <w:r>
        <w:tab/>
      </w:r>
      <w:r>
        <w:tab/>
      </w:r>
      <w:r>
        <w:tab/>
        <w:t xml:space="preserve">-Keep double entry notes for some courses (lecture notes and accompanying </w:t>
      </w:r>
    </w:p>
    <w:p w:rsidR="00616372" w:rsidRDefault="00616372" w:rsidP="00616372">
      <w:pPr>
        <w:ind w:left="1440" w:firstLine="720"/>
      </w:pPr>
      <w:r>
        <w:t>reflections, in this class we use your journal for this purpose)</w:t>
      </w:r>
    </w:p>
    <w:p w:rsidR="005B61D4" w:rsidRDefault="005B61D4" w:rsidP="00616372">
      <w:pPr>
        <w:ind w:left="1440" w:firstLine="720"/>
      </w:pPr>
      <w:r>
        <w:t>-Review your notes with a friend from class</w:t>
      </w:r>
    </w:p>
    <w:p w:rsidR="00EE13A4" w:rsidRDefault="00EE13A4" w:rsidP="00EE13A4">
      <w:r>
        <w:tab/>
      </w:r>
      <w:r>
        <w:tab/>
      </w:r>
    </w:p>
    <w:p w:rsidR="0001522F" w:rsidRPr="0001522F" w:rsidRDefault="0001522F" w:rsidP="0001522F">
      <w:pPr>
        <w:rPr>
          <w:b/>
        </w:rPr>
      </w:pPr>
      <w:r>
        <w:tab/>
      </w:r>
      <w:r w:rsidRPr="0001522F">
        <w:rPr>
          <w:b/>
          <w:highlight w:val="yellow"/>
        </w:rPr>
        <w:t>3. Forms and Functions of a College Writing Class –</w:t>
      </w:r>
    </w:p>
    <w:p w:rsidR="0001522F" w:rsidRDefault="0001522F" w:rsidP="0001522F">
      <w:pPr>
        <w:ind w:left="1440"/>
      </w:pPr>
      <w:r>
        <w:t>Accurate placement is a critical step – especially in a writing program such as ODU’s Undergraduate Writing Program – C or better in two composition course and the writing intensive course in the major</w:t>
      </w:r>
    </w:p>
    <w:p w:rsidR="00616372" w:rsidRDefault="00616372" w:rsidP="00616372">
      <w:pPr>
        <w:ind w:left="2160"/>
      </w:pPr>
      <w:r>
        <w:t>-Entering students have always had trouble adapting to unfamiliar writing expectations, required writing courses like this exist to…</w:t>
      </w:r>
    </w:p>
    <w:p w:rsidR="0001522F" w:rsidRDefault="0001522F" w:rsidP="0001522F">
      <w:pPr>
        <w:ind w:left="1440"/>
      </w:pPr>
      <w:r>
        <w:t>First year writing courses generally designed to help students with the transition to college writing and learning</w:t>
      </w:r>
    </w:p>
    <w:p w:rsidR="0001522F" w:rsidRPr="0001522F" w:rsidRDefault="0001522F" w:rsidP="0001522F">
      <w:pPr>
        <w:rPr>
          <w:b/>
        </w:rPr>
      </w:pPr>
      <w:r>
        <w:tab/>
      </w:r>
      <w:r w:rsidRPr="0001522F">
        <w:rPr>
          <w:b/>
          <w:highlight w:val="yellow"/>
        </w:rPr>
        <w:t>4. Writing Centers and Other Assistance –</w:t>
      </w:r>
      <w:r w:rsidRPr="0001522F">
        <w:rPr>
          <w:b/>
        </w:rPr>
        <w:t xml:space="preserve"> </w:t>
      </w:r>
    </w:p>
    <w:p w:rsidR="0001522F" w:rsidRDefault="0001522F" w:rsidP="0001522F">
      <w:pPr>
        <w:ind w:left="1440"/>
      </w:pPr>
      <w:r>
        <w:t>UNIV 150 students will seek assistance in the study hall held by the Writing for College Success Program.</w:t>
      </w:r>
    </w:p>
    <w:p w:rsidR="00F96931" w:rsidRDefault="0001522F" w:rsidP="00590369">
      <w:pPr>
        <w:ind w:left="1440"/>
      </w:pPr>
      <w:r>
        <w:t>The Writing Center in the Learning Commons provides services for students with credit for ENGL 110C.</w:t>
      </w:r>
      <w:bookmarkStart w:id="0" w:name="_GoBack"/>
      <w:bookmarkEnd w:id="0"/>
    </w:p>
    <w:sectPr w:rsidR="00F96931" w:rsidSect="00F96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3A45"/>
    <w:multiLevelType w:val="hybridMultilevel"/>
    <w:tmpl w:val="FDB23EAE"/>
    <w:lvl w:ilvl="0" w:tplc="85FED6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A47398"/>
    <w:multiLevelType w:val="hybridMultilevel"/>
    <w:tmpl w:val="EEE0B39C"/>
    <w:lvl w:ilvl="0" w:tplc="EF5A1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2F"/>
    <w:rsid w:val="0001522F"/>
    <w:rsid w:val="00590369"/>
    <w:rsid w:val="005B61D4"/>
    <w:rsid w:val="00616372"/>
    <w:rsid w:val="00854831"/>
    <w:rsid w:val="00A102BA"/>
    <w:rsid w:val="00EE13A4"/>
    <w:rsid w:val="00F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B52A"/>
  <w15:docId w15:val="{03E9B196-B437-421A-89D0-AB5121D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Amanda Skrobacki</cp:lastModifiedBy>
  <cp:revision>2</cp:revision>
  <dcterms:created xsi:type="dcterms:W3CDTF">2017-10-05T04:39:00Z</dcterms:created>
  <dcterms:modified xsi:type="dcterms:W3CDTF">2017-10-05T04:39:00Z</dcterms:modified>
</cp:coreProperties>
</file>