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Annotated Bibliography</w:t>
      </w:r>
    </w:p>
    <w:p w:rsidR="00000000" w:rsidDel="00000000" w:rsidP="00000000" w:rsidRDefault="00000000" w:rsidRPr="00000000" w14:paraId="00000008">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Latavia Williams</w:t>
      </w:r>
    </w:p>
    <w:p w:rsidR="00000000" w:rsidDel="00000000" w:rsidP="00000000" w:rsidRDefault="00000000" w:rsidRPr="00000000" w14:paraId="00000009">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Dominion University</w:t>
      </w:r>
    </w:p>
    <w:p w:rsidR="00000000" w:rsidDel="00000000" w:rsidP="00000000" w:rsidRDefault="00000000" w:rsidRPr="00000000" w14:paraId="0000000A">
      <w:pPr>
        <w:spacing w:after="0"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480" w:lineRule="auto"/>
        <w:ind w:left="720" w:hanging="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48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48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Evenboer, E., Huyghen, A., Tuinstra, J., Knorth, E., &amp; Reijneveld, S. A. (2018). Differences in </w:t>
        <w:tab/>
        <w:tab/>
        <w:t xml:space="preserve">care provided to children with behavioral and emotional problems in a delineated region by using the taxonomy of care for youth. (TOCFY). </w:t>
      </w:r>
    </w:p>
    <w:p w:rsidR="00000000" w:rsidDel="00000000" w:rsidP="00000000" w:rsidRDefault="00000000" w:rsidRPr="00000000" w14:paraId="00000018">
      <w:pPr>
        <w:spacing w:after="0"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based on behavioral and emotional problems that affect children and their development. It is stressed that these problems can lead to serious restrictions in the functioning of children. To support and help children overcome this, the Taxonomy of Care for Youth (TOCY) was applied to make program elements with various types of support for children with behavioral and emotional problems. Support services were assessed to help the children by applying the Taxonomy of Care for Youth method. This method gives information on support services offered to children worldwide.</w:t>
      </w:r>
    </w:p>
    <w:p w:rsidR="00000000" w:rsidDel="00000000" w:rsidP="00000000" w:rsidRDefault="00000000" w:rsidRPr="00000000" w14:paraId="0000001A">
      <w:pPr>
        <w:spacing w:after="0"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methods showed that by using the Taxonomy of Care for Youth, various types of support that were offered was mostly provided within an outpatient setting. More information and future recommendations on the core and program elements of this type of support services may help to optimize care for children and their families. This article is useful to my agency because one of the programs at The Center for Child and Family Services provides support services to children and families that also may be suffering from behavioral or mental health problems.</w:t>
      </w:r>
    </w:p>
    <w:p w:rsidR="00000000" w:rsidDel="00000000" w:rsidP="00000000" w:rsidRDefault="00000000" w:rsidRPr="00000000" w14:paraId="0000001B">
      <w:pPr>
        <w:spacing w:after="0"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Fisher, J.H., Lichvar, E., Hogue, A., &amp; Dauber, S. (2018). Perceived need for treatment and engagement in mental health services among community- referred Racial/ Ethnic minority adolescents.</w:t>
      </w:r>
    </w:p>
    <w:p w:rsidR="00000000" w:rsidDel="00000000" w:rsidP="00000000" w:rsidRDefault="00000000" w:rsidRPr="00000000" w14:paraId="0000001D">
      <w:pPr>
        <w:spacing w:after="0"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examines clinical needs for families and youth in need of treatment. It provides engagement in the mental health treatment services with community referred racial and ethnic minority adolescents. It aims to determine predictors of perceived need for treatment and engagement, as such predictors can be helpful in improving access of behavioral health services among youth and families in need of services. Research methods suggests that family relationship dynamics can play a role in family decisions to seek out treatment for youth facing emotional and behavioral problems. Findings also indicate that studies for youth and families that need services and variables are the most significant in mental health services. </w:t>
      </w:r>
    </w:p>
    <w:p w:rsidR="00000000" w:rsidDel="00000000" w:rsidP="00000000" w:rsidRDefault="00000000" w:rsidRPr="00000000" w14:paraId="0000001E">
      <w:pPr>
        <w:spacing w:after="0"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Perceived need for treatment has been found as an important first step when seeking mental health treatment. This article is useful because it is important to differentiate whether the youth and families want to seek help or do not perceive the need for any treatment. From there, you will be able to know what treatment services to assist them with. This will be helpful in improving their behaviors as well as their needs.</w:t>
      </w:r>
    </w:p>
    <w:p w:rsidR="00000000" w:rsidDel="00000000" w:rsidP="00000000" w:rsidRDefault="00000000" w:rsidRPr="00000000" w14:paraId="00000020">
      <w:pPr>
        <w:spacing w:after="0"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Stevens, M. (2018). Preventing at- risk children from developing antisocial and criminal behavior: A longitudinal study examining the role of parenting, community and societal factors in middle childhood.</w:t>
      </w:r>
    </w:p>
    <w:p w:rsidR="00000000" w:rsidDel="00000000" w:rsidP="00000000" w:rsidRDefault="00000000" w:rsidRPr="00000000" w14:paraId="00000022">
      <w:pPr>
        <w:spacing w:after="0"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focuses on the many childhood risk factors that may seem to be associated with their success or antisocial and criminal behaviors such as conduct disorders and parental substance abuse. It addresses ways to help families improve children’s future outcomes and future concerns. As a way to prevent and help children who are at risk, studies were given as to what factors can be addressed to help families and children improve their family difficulties and outcomes. Research methods investigated hypotheses that were used and used a sample of over one thousand children from the Avon Longitudinal Study of Parents and Children (ALSPAC). As this was examined, the evidence was less clear as to the role of social support and mother’s employment choices that may have been affecting the children at risk.</w:t>
      </w:r>
    </w:p>
    <w:p w:rsidR="00000000" w:rsidDel="00000000" w:rsidP="00000000" w:rsidRDefault="00000000" w:rsidRPr="00000000" w14:paraId="00000023">
      <w:pPr>
        <w:spacing w:after="0"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480" w:lineRule="auto"/>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Recommendations and conclusions for future results include that improve environments around the children and family during the child’s childhood could have benefits in reducing antisocial behaviors, the child’s conduct disorders, and parental substance abuse. Because of this, children may believe whatever their parent is partaking in is a good thing. Children often look up to their parents, so it is important and relevant for children to know what is right and what may be wrong. They should also learn how to reduce their behavioral problems.</w:t>
      </w:r>
    </w:p>
    <w:p w:rsidR="00000000" w:rsidDel="00000000" w:rsidP="00000000" w:rsidRDefault="00000000" w:rsidRPr="00000000" w14:paraId="00000025">
      <w:pPr>
        <w:spacing w:after="0" w:line="480" w:lineRule="auto"/>
        <w:ind w:left="720" w:hanging="720"/>
        <w:contextualSpacing w:val="0"/>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contextualSpacing w:val="0"/>
      <w:jc w:val="left"/>
      <w:rPr/>
    </w:pPr>
    <w:r w:rsidDel="00000000" w:rsidR="00000000" w:rsidRPr="00000000">
      <w:rPr>
        <w:rFonts w:ascii="Times New Roman" w:cs="Times New Roman" w:eastAsia="Times New Roman" w:hAnsi="Times New Roman"/>
        <w:sz w:val="24"/>
        <w:szCs w:val="24"/>
        <w:rtl w:val="0"/>
      </w:rPr>
      <w:t xml:space="preserve">ANNOTATED BIBLIOGRAPHY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ANNOTATED BIBLIOGRAPHY                                                                          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