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Latavia Williams</w:t>
      </w:r>
    </w:p>
    <w:p w:rsidR="00000000" w:rsidDel="00000000" w:rsidP="00000000" w:rsidRDefault="00000000" w:rsidRPr="00000000" w14:paraId="00000008">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an Agency</w:t>
      </w:r>
    </w:p>
    <w:p w:rsidR="00000000" w:rsidDel="00000000" w:rsidP="00000000" w:rsidRDefault="00000000" w:rsidRPr="00000000" w14:paraId="00000009">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A">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Center for Child and Family Services</w:t>
      </w:r>
    </w:p>
    <w:p w:rsidR="00000000" w:rsidDel="00000000" w:rsidP="00000000" w:rsidRDefault="00000000" w:rsidRPr="00000000" w14:paraId="0000001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agency that I have chosen for evaluation is The Center For Child and Family Services located in Hampton and Williamsburg, Virginia. This center is a non-profit community service organization and partner agency of United Way of the Virginia peninsula and United Way of greater Williamsburg. This agency serves all individuals and families regardless of race, age, color, religion, gender, national origin, disability, sexual orientation, or other demographics that may describe an individual. The agency’s mission is to deliver quality counseling programs and support services that empower individuals and families to improve their lives! I spoke with the resident in counseling and thrive program director, Mackenzie Booth and scheduled an appointment to meet with her. As we talked, I began by going over the class that I am taking and what the evaluation was for. Then, I went over the evaluation process and the various aspects of the evaluation I will be using. She seemed interested and willing to be a part of the evaluation, stressing that she was glad that I reached out to this agency.</w:t>
      </w:r>
    </w:p>
    <w:p w:rsidR="00000000" w:rsidDel="00000000" w:rsidP="00000000" w:rsidRDefault="00000000" w:rsidRPr="00000000" w14:paraId="0000001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Center for Child and Family Services offers successful programs and support services to support the needs of individuals, families, and communities. This center has three program departments that offer programs and services which are behavioral health services, child and family connection, and consumer credit counseling services. For example, people who are seeking help or are in a possible crisis may not have any other resource to turn to. Children who also may come from abusive or neglectful homes, or live in poor communities may look into these programs. The behavioral health program is a provider of counseling services to children, adults, families, and organizations which include mental health therapy, adult and youth management prevention services. Children may have behavioral problems in their home or if they are in school. The behavioral program will ensure that children get the necessary resources they need to improve the behavior and actions. The Center has developed strong working relationships to ensure each individual receives the best services. The child and family connection program provides a variety of resources, training, and services to help families raise their children. They link families and children to resources that may help with child development. For example, families may not have a strong relationship with one another or may have a hard time raising their children. The child and family connection helps improve development and ensure their services help families or caregivers raise their children! The consumer credit counseling services provide credit counseling services which include financial education, housing, avoiding bankruptcy, and educational classes. It is supported by contributions from creditors, banks, doctors, and other community minded individuals.</w:t>
      </w:r>
    </w:p>
    <w:p w:rsidR="00000000" w:rsidDel="00000000" w:rsidP="00000000" w:rsidRDefault="00000000" w:rsidRPr="00000000" w14:paraId="0000001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this agency because it stood out to me how this agency reaches out to various people, families, and communities. This agency’s mission relates to what I want to pursue in life, which are helping individuals and families improve their lives. I am interested in working with individuals in crisis intervention. This agency also relates to my future profession and goals by giving support services and counseling programs to not only individuals and families, but also towards are community. My goal in life is to help our community and make it a better, suitable environment for children and families.</w:t>
      </w:r>
    </w:p>
    <w:p w:rsidR="00000000" w:rsidDel="00000000" w:rsidP="00000000" w:rsidRDefault="00000000" w:rsidRPr="00000000" w14:paraId="00000016">
      <w:pP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Kidsandfamilies.com/index.html </w:t>
      </w:r>
    </w:p>
    <w:p w:rsidR="00000000" w:rsidDel="00000000" w:rsidP="00000000" w:rsidRDefault="00000000" w:rsidRPr="00000000" w14:paraId="0000001D">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EVALUATING AN AGENCY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ead: EVALUATING AN AGENCY                                                                              1</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