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59F4" w14:textId="77777777" w:rsidR="003D28DE" w:rsidRDefault="003D28DE"/>
    <w:p w14:paraId="0BD92E80" w14:textId="77777777" w:rsidR="00091FA3" w:rsidRDefault="00091FA3" w:rsidP="00091FA3">
      <w:pPr>
        <w:spacing w:after="0" w:line="480" w:lineRule="auto"/>
        <w:jc w:val="center"/>
        <w:rPr>
          <w:rFonts w:eastAsia="Arial"/>
          <w:b/>
          <w:highlight w:val="white"/>
        </w:rPr>
      </w:pPr>
    </w:p>
    <w:p w14:paraId="25D9A7CA" w14:textId="660C8CC4" w:rsidR="00091FA3" w:rsidRPr="00754733" w:rsidRDefault="004650F9" w:rsidP="00091FA3">
      <w:pPr>
        <w:spacing w:after="0" w:line="480" w:lineRule="auto"/>
        <w:jc w:val="center"/>
        <w:rPr>
          <w:rFonts w:eastAsia="Arial"/>
          <w:b/>
          <w:sz w:val="24"/>
          <w:szCs w:val="24"/>
          <w:highlight w:val="white"/>
        </w:rPr>
      </w:pPr>
      <w:r w:rsidRPr="00754733">
        <w:rPr>
          <w:rFonts w:eastAsia="Arial"/>
          <w:b/>
          <w:sz w:val="24"/>
          <w:szCs w:val="24"/>
          <w:highlight w:val="white"/>
        </w:rPr>
        <w:t xml:space="preserve">A Scrotum is a Scrotum: Speaking </w:t>
      </w:r>
      <w:r w:rsidR="00CD118E" w:rsidRPr="00754733">
        <w:rPr>
          <w:rFonts w:eastAsia="Arial"/>
          <w:b/>
          <w:sz w:val="24"/>
          <w:szCs w:val="24"/>
          <w:highlight w:val="white"/>
        </w:rPr>
        <w:t>N</w:t>
      </w:r>
      <w:r w:rsidRPr="00754733">
        <w:rPr>
          <w:rFonts w:eastAsia="Arial"/>
          <w:b/>
          <w:sz w:val="24"/>
          <w:szCs w:val="24"/>
          <w:highlight w:val="white"/>
        </w:rPr>
        <w:t xml:space="preserve">otes </w:t>
      </w:r>
      <w:r w:rsidR="00F52410" w:rsidRPr="00754733">
        <w:rPr>
          <w:rFonts w:eastAsia="Arial"/>
          <w:b/>
          <w:sz w:val="24"/>
          <w:szCs w:val="24"/>
          <w:highlight w:val="white"/>
        </w:rPr>
        <w:t>on</w:t>
      </w:r>
      <w:r w:rsidR="00CD118E" w:rsidRPr="00754733">
        <w:rPr>
          <w:rFonts w:eastAsia="Arial"/>
          <w:b/>
          <w:sz w:val="24"/>
          <w:szCs w:val="24"/>
          <w:highlight w:val="white"/>
        </w:rPr>
        <w:t xml:space="preserve"> </w:t>
      </w:r>
      <w:r w:rsidR="00CD118E" w:rsidRPr="00754733">
        <w:rPr>
          <w:rFonts w:eastAsia="Arial"/>
          <w:b/>
          <w:i/>
          <w:iCs/>
          <w:sz w:val="24"/>
          <w:szCs w:val="24"/>
          <w:highlight w:val="white"/>
        </w:rPr>
        <w:t>The Higher Power of Lucky</w:t>
      </w:r>
    </w:p>
    <w:p w14:paraId="2A06A835" w14:textId="77777777" w:rsidR="00091FA3" w:rsidRPr="00754733" w:rsidRDefault="00091FA3" w:rsidP="00091FA3">
      <w:pPr>
        <w:spacing w:after="0" w:line="480" w:lineRule="auto"/>
        <w:jc w:val="center"/>
        <w:rPr>
          <w:rFonts w:eastAsia="Arial"/>
          <w:b/>
          <w:sz w:val="24"/>
          <w:szCs w:val="24"/>
          <w:highlight w:val="white"/>
        </w:rPr>
      </w:pPr>
    </w:p>
    <w:p w14:paraId="5C6FB917" w14:textId="77777777" w:rsidR="00091FA3" w:rsidRPr="00754733" w:rsidRDefault="00091FA3" w:rsidP="00091FA3">
      <w:pPr>
        <w:spacing w:after="0" w:line="480" w:lineRule="auto"/>
        <w:jc w:val="center"/>
        <w:rPr>
          <w:rFonts w:eastAsia="Arial"/>
          <w:sz w:val="24"/>
          <w:szCs w:val="24"/>
          <w:highlight w:val="white"/>
        </w:rPr>
      </w:pPr>
      <w:r w:rsidRPr="00754733">
        <w:rPr>
          <w:rFonts w:eastAsia="Arial"/>
          <w:sz w:val="24"/>
          <w:szCs w:val="24"/>
          <w:highlight w:val="white"/>
        </w:rPr>
        <w:t>Tiffany Allen</w:t>
      </w:r>
    </w:p>
    <w:p w14:paraId="451C9E44" w14:textId="77777777" w:rsidR="00091FA3" w:rsidRPr="00754733" w:rsidRDefault="00091FA3" w:rsidP="00091FA3">
      <w:pPr>
        <w:spacing w:after="0" w:line="480" w:lineRule="auto"/>
        <w:jc w:val="center"/>
        <w:rPr>
          <w:rFonts w:eastAsia="Arial"/>
          <w:sz w:val="24"/>
          <w:szCs w:val="24"/>
          <w:highlight w:val="white"/>
        </w:rPr>
      </w:pPr>
      <w:r w:rsidRPr="00754733">
        <w:rPr>
          <w:rFonts w:eastAsia="Arial"/>
          <w:sz w:val="24"/>
          <w:szCs w:val="24"/>
          <w:highlight w:val="white"/>
        </w:rPr>
        <w:t>Library and Information Studies Program, Old Dominion University</w:t>
      </w:r>
    </w:p>
    <w:p w14:paraId="75F07AA8" w14:textId="77777777" w:rsidR="00091FA3" w:rsidRPr="00754733" w:rsidRDefault="00091FA3" w:rsidP="00091FA3">
      <w:pPr>
        <w:spacing w:after="0" w:line="480" w:lineRule="auto"/>
        <w:jc w:val="center"/>
        <w:rPr>
          <w:rFonts w:eastAsia="Arial"/>
          <w:sz w:val="24"/>
          <w:szCs w:val="24"/>
          <w:highlight w:val="white"/>
        </w:rPr>
      </w:pPr>
      <w:r w:rsidRPr="00754733">
        <w:rPr>
          <w:rFonts w:eastAsia="Arial"/>
          <w:sz w:val="24"/>
          <w:szCs w:val="24"/>
          <w:highlight w:val="white"/>
        </w:rPr>
        <w:t>LIBS 608: Foundations of Library and Information Science</w:t>
      </w:r>
    </w:p>
    <w:p w14:paraId="5F6129E2" w14:textId="77777777" w:rsidR="004D368A" w:rsidRPr="00754733" w:rsidRDefault="00091FA3" w:rsidP="004D368A">
      <w:pPr>
        <w:spacing w:after="0" w:line="480" w:lineRule="auto"/>
        <w:jc w:val="center"/>
        <w:rPr>
          <w:rFonts w:eastAsia="Arial"/>
          <w:sz w:val="24"/>
          <w:szCs w:val="24"/>
          <w:highlight w:val="white"/>
        </w:rPr>
      </w:pPr>
      <w:r w:rsidRPr="00754733">
        <w:rPr>
          <w:rFonts w:eastAsia="Arial"/>
          <w:sz w:val="24"/>
          <w:szCs w:val="24"/>
          <w:highlight w:val="white"/>
        </w:rPr>
        <w:t>Sue C. Kimmel</w:t>
      </w:r>
    </w:p>
    <w:p w14:paraId="6CC78D83" w14:textId="185EDC55" w:rsidR="003D28DE" w:rsidRPr="00754733" w:rsidRDefault="004D368A" w:rsidP="004D368A">
      <w:pPr>
        <w:spacing w:after="0" w:line="480" w:lineRule="auto"/>
        <w:jc w:val="center"/>
        <w:rPr>
          <w:rFonts w:eastAsia="Arial"/>
          <w:sz w:val="24"/>
          <w:szCs w:val="24"/>
          <w:highlight w:val="white"/>
        </w:rPr>
      </w:pPr>
      <w:r w:rsidRPr="00754733">
        <w:rPr>
          <w:rFonts w:eastAsia="Arial"/>
          <w:sz w:val="24"/>
          <w:szCs w:val="24"/>
          <w:highlight w:val="white"/>
        </w:rPr>
        <w:t>February 27</w:t>
      </w:r>
      <w:r w:rsidR="00091FA3" w:rsidRPr="00754733">
        <w:rPr>
          <w:rFonts w:eastAsia="Arial"/>
          <w:sz w:val="24"/>
          <w:szCs w:val="24"/>
          <w:highlight w:val="white"/>
        </w:rPr>
        <w:t>, 2022</w:t>
      </w:r>
    </w:p>
    <w:p w14:paraId="3CBDEEFA" w14:textId="1C51F355" w:rsidR="000815A7" w:rsidRDefault="000815A7">
      <w:pPr>
        <w:rPr>
          <w:sz w:val="24"/>
          <w:szCs w:val="24"/>
        </w:rPr>
      </w:pPr>
      <w:r>
        <w:rPr>
          <w:sz w:val="24"/>
          <w:szCs w:val="24"/>
        </w:rPr>
        <w:br w:type="page"/>
      </w:r>
    </w:p>
    <w:p w14:paraId="5F521F1B" w14:textId="2AB4CFBD" w:rsidR="000815A7" w:rsidRPr="000815A7" w:rsidRDefault="000815A7" w:rsidP="000815A7">
      <w:pPr>
        <w:jc w:val="center"/>
        <w:rPr>
          <w:b/>
          <w:bCs/>
          <w:color w:val="000000" w:themeColor="text1"/>
          <w:sz w:val="24"/>
          <w:szCs w:val="24"/>
        </w:rPr>
      </w:pPr>
      <w:r>
        <w:rPr>
          <w:b/>
          <w:bCs/>
          <w:color w:val="000000" w:themeColor="text1"/>
          <w:sz w:val="24"/>
          <w:szCs w:val="24"/>
        </w:rPr>
        <w:lastRenderedPageBreak/>
        <w:t>Speaking Notes</w:t>
      </w:r>
    </w:p>
    <w:p w14:paraId="41FFA67B" w14:textId="5CAFCCD6" w:rsidR="001559A9" w:rsidRDefault="009342D9">
      <w:pPr>
        <w:rPr>
          <w:color w:val="000000" w:themeColor="text1"/>
          <w:sz w:val="24"/>
          <w:szCs w:val="24"/>
        </w:rPr>
      </w:pPr>
      <w:r w:rsidRPr="00754733">
        <w:rPr>
          <w:color w:val="000000" w:themeColor="text1"/>
          <w:sz w:val="24"/>
          <w:szCs w:val="24"/>
        </w:rPr>
        <w:t xml:space="preserve">Speaking notes are for a community meeting to discuss whether </w:t>
      </w:r>
      <w:r w:rsidRPr="00754733">
        <w:rPr>
          <w:i/>
          <w:iCs/>
          <w:color w:val="000000" w:themeColor="text1"/>
          <w:sz w:val="24"/>
          <w:szCs w:val="24"/>
        </w:rPr>
        <w:t>The Higher Power of Lucky</w:t>
      </w:r>
      <w:r w:rsidRPr="00754733">
        <w:rPr>
          <w:color w:val="000000" w:themeColor="text1"/>
          <w:sz w:val="24"/>
          <w:szCs w:val="24"/>
        </w:rPr>
        <w:t xml:space="preserve"> should be moved from the children’s section to the young adult section </w:t>
      </w:r>
      <w:r w:rsidR="00883BEF" w:rsidRPr="00754733">
        <w:rPr>
          <w:color w:val="000000" w:themeColor="text1"/>
          <w:sz w:val="24"/>
          <w:szCs w:val="24"/>
        </w:rPr>
        <w:t>in the public library.</w:t>
      </w:r>
    </w:p>
    <w:p w14:paraId="39FAA1EA" w14:textId="77777777" w:rsidR="004755D9" w:rsidRPr="00754733" w:rsidRDefault="004755D9">
      <w:pPr>
        <w:rPr>
          <w:color w:val="000000" w:themeColor="text1"/>
          <w:sz w:val="24"/>
          <w:szCs w:val="24"/>
        </w:rPr>
      </w:pPr>
    </w:p>
    <w:p w14:paraId="278CAFD5" w14:textId="3F5252CD" w:rsidR="00883BEF" w:rsidRPr="00754733" w:rsidRDefault="00987743" w:rsidP="00F35110">
      <w:pPr>
        <w:pStyle w:val="ListParagraph"/>
        <w:numPr>
          <w:ilvl w:val="0"/>
          <w:numId w:val="5"/>
        </w:numPr>
        <w:rPr>
          <w:color w:val="000000" w:themeColor="text1"/>
          <w:sz w:val="24"/>
          <w:szCs w:val="24"/>
        </w:rPr>
      </w:pPr>
      <w:r w:rsidRPr="00754733">
        <w:rPr>
          <w:color w:val="000000" w:themeColor="text1"/>
          <w:sz w:val="24"/>
          <w:szCs w:val="24"/>
        </w:rPr>
        <w:t xml:space="preserve">A concerned parent has asked for the </w:t>
      </w:r>
      <w:r w:rsidR="00FA3007" w:rsidRPr="00754733">
        <w:rPr>
          <w:color w:val="000000" w:themeColor="text1"/>
          <w:sz w:val="24"/>
          <w:szCs w:val="24"/>
        </w:rPr>
        <w:t xml:space="preserve">book, </w:t>
      </w:r>
      <w:r w:rsidR="00FA3007" w:rsidRPr="00754733">
        <w:rPr>
          <w:i/>
          <w:iCs/>
          <w:color w:val="000000" w:themeColor="text1"/>
          <w:sz w:val="24"/>
          <w:szCs w:val="24"/>
        </w:rPr>
        <w:t>The Higher Power of Lucky</w:t>
      </w:r>
      <w:r w:rsidR="00FA3007" w:rsidRPr="00754733">
        <w:rPr>
          <w:color w:val="000000" w:themeColor="text1"/>
          <w:sz w:val="24"/>
          <w:szCs w:val="24"/>
        </w:rPr>
        <w:t xml:space="preserve"> </w:t>
      </w:r>
      <w:r w:rsidR="00EE23EC" w:rsidRPr="00754733">
        <w:rPr>
          <w:color w:val="000000" w:themeColor="text1"/>
          <w:sz w:val="24"/>
          <w:szCs w:val="24"/>
        </w:rPr>
        <w:t>by Susan Patron</w:t>
      </w:r>
      <w:r w:rsidR="00A6280A" w:rsidRPr="00754733">
        <w:rPr>
          <w:color w:val="000000" w:themeColor="text1"/>
          <w:sz w:val="24"/>
          <w:szCs w:val="24"/>
        </w:rPr>
        <w:t>,</w:t>
      </w:r>
      <w:r w:rsidR="00EE23EC" w:rsidRPr="00754733">
        <w:rPr>
          <w:color w:val="000000" w:themeColor="text1"/>
          <w:sz w:val="24"/>
          <w:szCs w:val="24"/>
        </w:rPr>
        <w:t xml:space="preserve"> </w:t>
      </w:r>
      <w:r w:rsidR="00FA3007" w:rsidRPr="00754733">
        <w:rPr>
          <w:color w:val="000000" w:themeColor="text1"/>
          <w:sz w:val="24"/>
          <w:szCs w:val="24"/>
        </w:rPr>
        <w:t>to be relocated from the children’s section to the young adult section</w:t>
      </w:r>
      <w:r w:rsidR="005F138A" w:rsidRPr="00754733">
        <w:rPr>
          <w:color w:val="000000" w:themeColor="text1"/>
          <w:sz w:val="24"/>
          <w:szCs w:val="24"/>
        </w:rPr>
        <w:t xml:space="preserve"> due to the use of the word “scrotum” on the first page. </w:t>
      </w:r>
      <w:proofErr w:type="spellStart"/>
      <w:r w:rsidR="00F35110" w:rsidRPr="00754733">
        <w:rPr>
          <w:color w:val="000000" w:themeColor="text1"/>
          <w:sz w:val="24"/>
          <w:szCs w:val="24"/>
        </w:rPr>
        <w:t>NoveList</w:t>
      </w:r>
      <w:proofErr w:type="spellEnd"/>
      <w:r w:rsidR="00F35110" w:rsidRPr="00754733">
        <w:rPr>
          <w:color w:val="000000" w:themeColor="text1"/>
          <w:sz w:val="24"/>
          <w:szCs w:val="24"/>
        </w:rPr>
        <w:t xml:space="preserve"> K-8 Plus lists </w:t>
      </w:r>
      <w:r w:rsidR="00F35110" w:rsidRPr="00754733">
        <w:rPr>
          <w:i/>
          <w:iCs/>
          <w:color w:val="000000" w:themeColor="text1"/>
          <w:sz w:val="24"/>
          <w:szCs w:val="24"/>
        </w:rPr>
        <w:t>The Higher Power of Lucky’s</w:t>
      </w:r>
      <w:r w:rsidR="00F35110" w:rsidRPr="00754733">
        <w:rPr>
          <w:color w:val="000000" w:themeColor="text1"/>
          <w:sz w:val="24"/>
          <w:szCs w:val="24"/>
        </w:rPr>
        <w:t xml:space="preserve"> reading level as ages 9-12 (2022)</w:t>
      </w:r>
      <w:r w:rsidR="002C3A0F" w:rsidRPr="00754733">
        <w:rPr>
          <w:color w:val="000000" w:themeColor="text1"/>
          <w:sz w:val="24"/>
          <w:szCs w:val="24"/>
        </w:rPr>
        <w:t xml:space="preserve"> while </w:t>
      </w:r>
      <w:r w:rsidR="00F35110" w:rsidRPr="00754733">
        <w:rPr>
          <w:color w:val="000000" w:themeColor="text1"/>
          <w:sz w:val="24"/>
          <w:szCs w:val="24"/>
        </w:rPr>
        <w:t xml:space="preserve">Scholastic lists reading level for the book as grades 3-6 (2021). </w:t>
      </w:r>
      <w:r w:rsidR="005D7129" w:rsidRPr="00754733">
        <w:rPr>
          <w:color w:val="000000" w:themeColor="text1"/>
          <w:sz w:val="24"/>
          <w:szCs w:val="24"/>
        </w:rPr>
        <w:t>A</w:t>
      </w:r>
      <w:r w:rsidR="00F35110" w:rsidRPr="00754733">
        <w:rPr>
          <w:color w:val="000000" w:themeColor="text1"/>
          <w:sz w:val="24"/>
          <w:szCs w:val="24"/>
        </w:rPr>
        <w:t xml:space="preserve"> significant window of the reading level for this book is in elementary school</w:t>
      </w:r>
      <w:r w:rsidR="00A63B47">
        <w:rPr>
          <w:color w:val="000000" w:themeColor="text1"/>
          <w:sz w:val="24"/>
          <w:szCs w:val="24"/>
        </w:rPr>
        <w:t xml:space="preserve"> (</w:t>
      </w:r>
      <w:r w:rsidR="00B028F9">
        <w:rPr>
          <w:color w:val="000000" w:themeColor="text1"/>
          <w:sz w:val="24"/>
          <w:szCs w:val="24"/>
        </w:rPr>
        <w:t>3</w:t>
      </w:r>
      <w:r w:rsidR="00B028F9" w:rsidRPr="00B028F9">
        <w:rPr>
          <w:color w:val="000000" w:themeColor="text1"/>
          <w:sz w:val="24"/>
          <w:szCs w:val="24"/>
          <w:vertAlign w:val="superscript"/>
        </w:rPr>
        <w:t>rd</w:t>
      </w:r>
      <w:r w:rsidR="00B028F9">
        <w:rPr>
          <w:color w:val="000000" w:themeColor="text1"/>
          <w:sz w:val="24"/>
          <w:szCs w:val="24"/>
        </w:rPr>
        <w:t>, 4</w:t>
      </w:r>
      <w:r w:rsidR="00B028F9" w:rsidRPr="00B028F9">
        <w:rPr>
          <w:color w:val="000000" w:themeColor="text1"/>
          <w:sz w:val="24"/>
          <w:szCs w:val="24"/>
          <w:vertAlign w:val="superscript"/>
        </w:rPr>
        <w:t>th</w:t>
      </w:r>
      <w:r w:rsidR="00B028F9">
        <w:rPr>
          <w:color w:val="000000" w:themeColor="text1"/>
          <w:sz w:val="24"/>
          <w:szCs w:val="24"/>
        </w:rPr>
        <w:t>, and 5</w:t>
      </w:r>
      <w:r w:rsidR="00B028F9" w:rsidRPr="00B028F9">
        <w:rPr>
          <w:color w:val="000000" w:themeColor="text1"/>
          <w:sz w:val="24"/>
          <w:szCs w:val="24"/>
          <w:vertAlign w:val="superscript"/>
        </w:rPr>
        <w:t>th</w:t>
      </w:r>
      <w:r w:rsidR="00B028F9">
        <w:rPr>
          <w:color w:val="000000" w:themeColor="text1"/>
          <w:sz w:val="24"/>
          <w:szCs w:val="24"/>
        </w:rPr>
        <w:t xml:space="preserve"> grade)</w:t>
      </w:r>
      <w:r w:rsidR="00463277">
        <w:rPr>
          <w:color w:val="000000" w:themeColor="text1"/>
          <w:sz w:val="24"/>
          <w:szCs w:val="24"/>
        </w:rPr>
        <w:t xml:space="preserve">, </w:t>
      </w:r>
      <w:r w:rsidR="00C54571">
        <w:rPr>
          <w:color w:val="000000" w:themeColor="text1"/>
          <w:sz w:val="24"/>
          <w:szCs w:val="24"/>
        </w:rPr>
        <w:t>which is contained in</w:t>
      </w:r>
      <w:r w:rsidR="00463277">
        <w:rPr>
          <w:color w:val="000000" w:themeColor="text1"/>
          <w:sz w:val="24"/>
          <w:szCs w:val="24"/>
        </w:rPr>
        <w:t xml:space="preserve"> the children’s area</w:t>
      </w:r>
      <w:r w:rsidR="007105BE">
        <w:rPr>
          <w:color w:val="000000" w:themeColor="text1"/>
          <w:sz w:val="24"/>
          <w:szCs w:val="24"/>
        </w:rPr>
        <w:t xml:space="preserve"> that</w:t>
      </w:r>
      <w:r w:rsidR="00C54571">
        <w:rPr>
          <w:color w:val="000000" w:themeColor="text1"/>
          <w:sz w:val="24"/>
          <w:szCs w:val="24"/>
        </w:rPr>
        <w:t xml:space="preserve"> </w:t>
      </w:r>
      <w:r w:rsidR="007105BE">
        <w:rPr>
          <w:color w:val="000000" w:themeColor="text1"/>
          <w:sz w:val="24"/>
          <w:szCs w:val="24"/>
        </w:rPr>
        <w:t xml:space="preserve">also </w:t>
      </w:r>
      <w:r w:rsidR="000163E1">
        <w:rPr>
          <w:color w:val="000000" w:themeColor="text1"/>
          <w:sz w:val="24"/>
          <w:szCs w:val="24"/>
        </w:rPr>
        <w:t>houses</w:t>
      </w:r>
      <w:r w:rsidR="00B54676">
        <w:rPr>
          <w:color w:val="000000" w:themeColor="text1"/>
          <w:sz w:val="24"/>
          <w:szCs w:val="24"/>
        </w:rPr>
        <w:t xml:space="preserve"> a Tween section for children in grades 4-6</w:t>
      </w:r>
      <w:r w:rsidR="00D8144D">
        <w:rPr>
          <w:color w:val="000000" w:themeColor="text1"/>
          <w:sz w:val="24"/>
          <w:szCs w:val="24"/>
        </w:rPr>
        <w:t>, while the young adult area</w:t>
      </w:r>
      <w:r w:rsidR="00527EFC">
        <w:rPr>
          <w:color w:val="000000" w:themeColor="text1"/>
          <w:sz w:val="24"/>
          <w:szCs w:val="24"/>
        </w:rPr>
        <w:t xml:space="preserve"> is </w:t>
      </w:r>
      <w:r w:rsidR="008B7216">
        <w:rPr>
          <w:color w:val="000000" w:themeColor="text1"/>
          <w:sz w:val="24"/>
          <w:szCs w:val="24"/>
        </w:rPr>
        <w:t xml:space="preserve">usually considered for </w:t>
      </w:r>
      <w:r w:rsidR="00527EFC">
        <w:rPr>
          <w:color w:val="000000" w:themeColor="text1"/>
          <w:sz w:val="24"/>
          <w:szCs w:val="24"/>
        </w:rPr>
        <w:t>grades 6 and up</w:t>
      </w:r>
      <w:r w:rsidR="00F35110" w:rsidRPr="00754733">
        <w:rPr>
          <w:color w:val="000000" w:themeColor="text1"/>
          <w:sz w:val="24"/>
          <w:szCs w:val="24"/>
        </w:rPr>
        <w:t xml:space="preserve">.  </w:t>
      </w:r>
    </w:p>
    <w:p w14:paraId="018B1776" w14:textId="4022A752" w:rsidR="00B06446" w:rsidRPr="00754733" w:rsidRDefault="00B06446" w:rsidP="00987743">
      <w:pPr>
        <w:pStyle w:val="ListParagraph"/>
        <w:numPr>
          <w:ilvl w:val="0"/>
          <w:numId w:val="5"/>
        </w:numPr>
        <w:rPr>
          <w:color w:val="000000" w:themeColor="text1"/>
          <w:sz w:val="24"/>
          <w:szCs w:val="24"/>
        </w:rPr>
      </w:pPr>
      <w:r w:rsidRPr="00754733">
        <w:rPr>
          <w:color w:val="000000" w:themeColor="text1"/>
          <w:sz w:val="24"/>
          <w:szCs w:val="24"/>
        </w:rPr>
        <w:t>Merriam Webster defines the word scrotum as “the external pouch that in most mammals contains the testes”</w:t>
      </w:r>
      <w:r w:rsidR="004D1B6D" w:rsidRPr="00754733">
        <w:rPr>
          <w:color w:val="000000" w:themeColor="text1"/>
          <w:sz w:val="24"/>
          <w:szCs w:val="24"/>
        </w:rPr>
        <w:t xml:space="preserve"> (2022)</w:t>
      </w:r>
      <w:r w:rsidR="009619BD" w:rsidRPr="00754733">
        <w:rPr>
          <w:color w:val="000000" w:themeColor="text1"/>
          <w:sz w:val="24"/>
          <w:szCs w:val="24"/>
        </w:rPr>
        <w:t xml:space="preserve">, which is the context that </w:t>
      </w:r>
      <w:r w:rsidR="009619BD" w:rsidRPr="00754733">
        <w:rPr>
          <w:i/>
          <w:iCs/>
          <w:color w:val="000000" w:themeColor="text1"/>
          <w:sz w:val="24"/>
          <w:szCs w:val="24"/>
        </w:rPr>
        <w:t>The Higher Power of Lucky</w:t>
      </w:r>
      <w:r w:rsidR="009619BD" w:rsidRPr="00754733">
        <w:rPr>
          <w:color w:val="000000" w:themeColor="text1"/>
          <w:sz w:val="24"/>
          <w:szCs w:val="24"/>
        </w:rPr>
        <w:t xml:space="preserve"> uses the word without it being sexual</w:t>
      </w:r>
      <w:r w:rsidR="0076228A" w:rsidRPr="00754733">
        <w:rPr>
          <w:color w:val="000000" w:themeColor="text1"/>
          <w:sz w:val="24"/>
          <w:szCs w:val="24"/>
        </w:rPr>
        <w:t>,</w:t>
      </w:r>
      <w:r w:rsidR="009619BD" w:rsidRPr="00754733">
        <w:rPr>
          <w:color w:val="000000" w:themeColor="text1"/>
          <w:sz w:val="24"/>
          <w:szCs w:val="24"/>
        </w:rPr>
        <w:t xml:space="preserve"> </w:t>
      </w:r>
      <w:r w:rsidR="007A5DA0" w:rsidRPr="00754733">
        <w:rPr>
          <w:color w:val="000000" w:themeColor="text1"/>
          <w:sz w:val="24"/>
          <w:szCs w:val="24"/>
        </w:rPr>
        <w:t>and it is used</w:t>
      </w:r>
      <w:r w:rsidR="0076228A" w:rsidRPr="00754733">
        <w:rPr>
          <w:color w:val="000000" w:themeColor="text1"/>
          <w:sz w:val="24"/>
          <w:szCs w:val="24"/>
        </w:rPr>
        <w:t xml:space="preserve"> in a </w:t>
      </w:r>
      <w:r w:rsidR="00C6408C" w:rsidRPr="00754733">
        <w:rPr>
          <w:color w:val="000000" w:themeColor="text1"/>
          <w:sz w:val="24"/>
          <w:szCs w:val="24"/>
        </w:rPr>
        <w:t>matter-of-fact</w:t>
      </w:r>
      <w:r w:rsidR="0076228A" w:rsidRPr="00754733">
        <w:rPr>
          <w:color w:val="000000" w:themeColor="text1"/>
          <w:sz w:val="24"/>
          <w:szCs w:val="24"/>
        </w:rPr>
        <w:t xml:space="preserve"> fashion</w:t>
      </w:r>
      <w:r w:rsidR="004D1B6D" w:rsidRPr="00754733">
        <w:rPr>
          <w:color w:val="000000" w:themeColor="text1"/>
          <w:sz w:val="24"/>
          <w:szCs w:val="24"/>
        </w:rPr>
        <w:t xml:space="preserve">. </w:t>
      </w:r>
      <w:r w:rsidR="00763FBD" w:rsidRPr="00754733">
        <w:rPr>
          <w:color w:val="000000" w:themeColor="text1"/>
          <w:sz w:val="24"/>
          <w:szCs w:val="24"/>
        </w:rPr>
        <w:t xml:space="preserve">The scrotum is a body part like an arm or a leg. </w:t>
      </w:r>
      <w:r w:rsidRPr="00754733">
        <w:rPr>
          <w:color w:val="000000" w:themeColor="text1"/>
          <w:sz w:val="24"/>
          <w:szCs w:val="24"/>
        </w:rPr>
        <w:t xml:space="preserve"> </w:t>
      </w:r>
      <w:r w:rsidR="00763FBD" w:rsidRPr="00754733">
        <w:rPr>
          <w:color w:val="000000" w:themeColor="text1"/>
          <w:sz w:val="24"/>
          <w:szCs w:val="24"/>
        </w:rPr>
        <w:t>A participant in a study done</w:t>
      </w:r>
      <w:r w:rsidR="003D315D" w:rsidRPr="00754733">
        <w:rPr>
          <w:color w:val="000000" w:themeColor="text1"/>
          <w:sz w:val="24"/>
          <w:szCs w:val="24"/>
        </w:rPr>
        <w:t xml:space="preserve"> by Har</w:t>
      </w:r>
      <w:r w:rsidR="00EC16B3" w:rsidRPr="00754733">
        <w:rPr>
          <w:color w:val="000000" w:themeColor="text1"/>
          <w:sz w:val="24"/>
          <w:szCs w:val="24"/>
        </w:rPr>
        <w:t>t</w:t>
      </w:r>
      <w:r w:rsidR="003D315D" w:rsidRPr="00754733">
        <w:rPr>
          <w:color w:val="000000" w:themeColor="text1"/>
          <w:sz w:val="24"/>
          <w:szCs w:val="24"/>
        </w:rPr>
        <w:t>sfield and Kimmel</w:t>
      </w:r>
      <w:r w:rsidR="001B76BC" w:rsidRPr="00754733">
        <w:rPr>
          <w:color w:val="000000" w:themeColor="text1"/>
          <w:sz w:val="24"/>
          <w:szCs w:val="24"/>
        </w:rPr>
        <w:t xml:space="preserve">, </w:t>
      </w:r>
      <w:r w:rsidR="00756CC2" w:rsidRPr="00754733">
        <w:rPr>
          <w:color w:val="000000" w:themeColor="text1"/>
          <w:sz w:val="24"/>
          <w:szCs w:val="24"/>
        </w:rPr>
        <w:t>where parents read controversial books</w:t>
      </w:r>
      <w:r w:rsidR="0016600A" w:rsidRPr="00754733">
        <w:rPr>
          <w:color w:val="000000" w:themeColor="text1"/>
          <w:sz w:val="24"/>
          <w:szCs w:val="24"/>
        </w:rPr>
        <w:t>,</w:t>
      </w:r>
      <w:r w:rsidR="00D53981" w:rsidRPr="00754733">
        <w:rPr>
          <w:color w:val="000000" w:themeColor="text1"/>
          <w:sz w:val="24"/>
          <w:szCs w:val="24"/>
        </w:rPr>
        <w:t xml:space="preserve"> including </w:t>
      </w:r>
      <w:r w:rsidR="00C2509B" w:rsidRPr="00754733">
        <w:rPr>
          <w:i/>
          <w:iCs/>
          <w:color w:val="000000" w:themeColor="text1"/>
          <w:sz w:val="24"/>
          <w:szCs w:val="24"/>
        </w:rPr>
        <w:t>The Higher Power of Lucky</w:t>
      </w:r>
      <w:r w:rsidR="0016600A" w:rsidRPr="00754733">
        <w:rPr>
          <w:i/>
          <w:iCs/>
          <w:color w:val="000000" w:themeColor="text1"/>
          <w:sz w:val="24"/>
          <w:szCs w:val="24"/>
        </w:rPr>
        <w:t>,</w:t>
      </w:r>
      <w:r w:rsidR="00763FBD" w:rsidRPr="00754733">
        <w:rPr>
          <w:color w:val="000000" w:themeColor="text1"/>
          <w:sz w:val="24"/>
          <w:szCs w:val="24"/>
        </w:rPr>
        <w:t xml:space="preserve"> </w:t>
      </w:r>
      <w:r w:rsidR="003D315D" w:rsidRPr="00754733">
        <w:rPr>
          <w:color w:val="000000" w:themeColor="text1"/>
          <w:sz w:val="24"/>
          <w:szCs w:val="24"/>
        </w:rPr>
        <w:t>s</w:t>
      </w:r>
      <w:r w:rsidR="00763FBD" w:rsidRPr="00754733">
        <w:rPr>
          <w:color w:val="000000" w:themeColor="text1"/>
          <w:sz w:val="24"/>
          <w:szCs w:val="24"/>
        </w:rPr>
        <w:t>aid, “’I’d rather my child use the right words’” (2020, p. 383)</w:t>
      </w:r>
      <w:r w:rsidR="007D34A9" w:rsidRPr="00754733">
        <w:rPr>
          <w:color w:val="000000" w:themeColor="text1"/>
          <w:sz w:val="24"/>
          <w:szCs w:val="24"/>
        </w:rPr>
        <w:t xml:space="preserve"> and</w:t>
      </w:r>
      <w:r w:rsidR="002C6A88" w:rsidRPr="00754733">
        <w:rPr>
          <w:color w:val="000000" w:themeColor="text1"/>
          <w:sz w:val="24"/>
          <w:szCs w:val="24"/>
        </w:rPr>
        <w:t xml:space="preserve"> others</w:t>
      </w:r>
      <w:r w:rsidR="007D34A9" w:rsidRPr="00754733">
        <w:rPr>
          <w:color w:val="000000" w:themeColor="text1"/>
          <w:sz w:val="24"/>
          <w:szCs w:val="24"/>
        </w:rPr>
        <w:t xml:space="preserve"> found it had </w:t>
      </w:r>
      <w:r w:rsidR="00790236" w:rsidRPr="00754733">
        <w:rPr>
          <w:color w:val="000000" w:themeColor="text1"/>
          <w:sz w:val="24"/>
          <w:szCs w:val="24"/>
        </w:rPr>
        <w:t>literary value separate from the reason</w:t>
      </w:r>
      <w:r w:rsidR="002C6A88" w:rsidRPr="00754733">
        <w:rPr>
          <w:color w:val="000000" w:themeColor="text1"/>
          <w:sz w:val="24"/>
          <w:szCs w:val="24"/>
        </w:rPr>
        <w:t>s why it was challenged (2020, p. 381)</w:t>
      </w:r>
      <w:r w:rsidR="006864F0" w:rsidRPr="00754733">
        <w:rPr>
          <w:color w:val="000000" w:themeColor="text1"/>
          <w:sz w:val="24"/>
          <w:szCs w:val="24"/>
        </w:rPr>
        <w:t>, while</w:t>
      </w:r>
      <w:r w:rsidR="00A14BAB" w:rsidRPr="00754733">
        <w:rPr>
          <w:color w:val="000000" w:themeColor="text1"/>
          <w:sz w:val="24"/>
          <w:szCs w:val="24"/>
        </w:rPr>
        <w:t xml:space="preserve"> another study </w:t>
      </w:r>
      <w:r w:rsidR="00015425" w:rsidRPr="00754733">
        <w:rPr>
          <w:color w:val="000000" w:themeColor="text1"/>
          <w:sz w:val="24"/>
          <w:szCs w:val="24"/>
        </w:rPr>
        <w:t xml:space="preserve">done by </w:t>
      </w:r>
      <w:r w:rsidR="004F6172" w:rsidRPr="00754733">
        <w:rPr>
          <w:color w:val="000000" w:themeColor="text1"/>
          <w:sz w:val="24"/>
          <w:szCs w:val="24"/>
        </w:rPr>
        <w:t xml:space="preserve">Hartsfield and Kimmel </w:t>
      </w:r>
      <w:r w:rsidR="000E44DF" w:rsidRPr="00754733">
        <w:rPr>
          <w:color w:val="000000" w:themeColor="text1"/>
          <w:sz w:val="24"/>
          <w:szCs w:val="24"/>
        </w:rPr>
        <w:t>on graduate</w:t>
      </w:r>
      <w:r w:rsidR="0064064E">
        <w:rPr>
          <w:color w:val="000000" w:themeColor="text1"/>
          <w:sz w:val="24"/>
          <w:szCs w:val="24"/>
        </w:rPr>
        <w:t xml:space="preserve"> teaching and librarian</w:t>
      </w:r>
      <w:r w:rsidR="000E44DF" w:rsidRPr="00754733">
        <w:rPr>
          <w:color w:val="000000" w:themeColor="text1"/>
          <w:sz w:val="24"/>
          <w:szCs w:val="24"/>
        </w:rPr>
        <w:t xml:space="preserve"> students </w:t>
      </w:r>
      <w:r w:rsidR="00C83C36" w:rsidRPr="00754733">
        <w:rPr>
          <w:color w:val="000000" w:themeColor="text1"/>
          <w:sz w:val="24"/>
          <w:szCs w:val="24"/>
        </w:rPr>
        <w:t xml:space="preserve">found </w:t>
      </w:r>
      <w:r w:rsidR="001C03E3" w:rsidRPr="00754733">
        <w:rPr>
          <w:color w:val="000000" w:themeColor="text1"/>
          <w:sz w:val="24"/>
          <w:szCs w:val="24"/>
        </w:rPr>
        <w:t xml:space="preserve">that </w:t>
      </w:r>
      <w:r w:rsidR="00C83C36" w:rsidRPr="00754733">
        <w:rPr>
          <w:color w:val="000000" w:themeColor="text1"/>
          <w:sz w:val="24"/>
          <w:szCs w:val="24"/>
        </w:rPr>
        <w:t>while some were uncomfortable with the use of the word</w:t>
      </w:r>
      <w:r w:rsidR="001C03E3" w:rsidRPr="00754733">
        <w:rPr>
          <w:color w:val="000000" w:themeColor="text1"/>
          <w:sz w:val="24"/>
          <w:szCs w:val="24"/>
        </w:rPr>
        <w:t>,</w:t>
      </w:r>
      <w:r w:rsidR="00001F34" w:rsidRPr="00754733">
        <w:rPr>
          <w:color w:val="000000" w:themeColor="text1"/>
          <w:sz w:val="24"/>
          <w:szCs w:val="24"/>
        </w:rPr>
        <w:t xml:space="preserve"> it was used correctly, </w:t>
      </w:r>
      <w:r w:rsidR="001C03E3" w:rsidRPr="00754733">
        <w:rPr>
          <w:color w:val="000000" w:themeColor="text1"/>
          <w:sz w:val="24"/>
          <w:szCs w:val="24"/>
        </w:rPr>
        <w:t>was not used inappropriately</w:t>
      </w:r>
      <w:r w:rsidR="006F371B" w:rsidRPr="00754733">
        <w:rPr>
          <w:color w:val="000000" w:themeColor="text1"/>
          <w:sz w:val="24"/>
          <w:szCs w:val="24"/>
        </w:rPr>
        <w:t xml:space="preserve">, it was not </w:t>
      </w:r>
      <w:r w:rsidR="001C03E3" w:rsidRPr="00754733">
        <w:rPr>
          <w:color w:val="000000" w:themeColor="text1"/>
          <w:sz w:val="24"/>
          <w:szCs w:val="24"/>
        </w:rPr>
        <w:t xml:space="preserve">a bad word, it </w:t>
      </w:r>
      <w:r w:rsidR="00001F34" w:rsidRPr="00754733">
        <w:rPr>
          <w:color w:val="000000" w:themeColor="text1"/>
          <w:sz w:val="24"/>
          <w:szCs w:val="24"/>
        </w:rPr>
        <w:t xml:space="preserve">could help build older elementary school student’s </w:t>
      </w:r>
      <w:r w:rsidR="006F371B" w:rsidRPr="00754733">
        <w:rPr>
          <w:color w:val="000000" w:themeColor="text1"/>
          <w:sz w:val="24"/>
          <w:szCs w:val="24"/>
        </w:rPr>
        <w:t>vocabular</w:t>
      </w:r>
      <w:r w:rsidR="00A35ED6" w:rsidRPr="00754733">
        <w:rPr>
          <w:color w:val="000000" w:themeColor="text1"/>
          <w:sz w:val="24"/>
          <w:szCs w:val="24"/>
        </w:rPr>
        <w:t>y</w:t>
      </w:r>
      <w:r w:rsidR="006F371B" w:rsidRPr="00754733">
        <w:rPr>
          <w:color w:val="000000" w:themeColor="text1"/>
          <w:sz w:val="24"/>
          <w:szCs w:val="24"/>
        </w:rPr>
        <w:t xml:space="preserve">, </w:t>
      </w:r>
      <w:r w:rsidR="00001F34" w:rsidRPr="00754733">
        <w:rPr>
          <w:color w:val="000000" w:themeColor="text1"/>
          <w:sz w:val="24"/>
          <w:szCs w:val="24"/>
        </w:rPr>
        <w:t>and at least it was</w:t>
      </w:r>
      <w:r w:rsidR="00E1042A" w:rsidRPr="00754733">
        <w:rPr>
          <w:color w:val="000000" w:themeColor="text1"/>
          <w:sz w:val="24"/>
          <w:szCs w:val="24"/>
        </w:rPr>
        <w:t xml:space="preserve"> not slang</w:t>
      </w:r>
      <w:r w:rsidR="007D34A9" w:rsidRPr="00754733">
        <w:rPr>
          <w:color w:val="000000" w:themeColor="text1"/>
          <w:sz w:val="24"/>
          <w:szCs w:val="24"/>
        </w:rPr>
        <w:t xml:space="preserve"> </w:t>
      </w:r>
      <w:r w:rsidR="00F51644" w:rsidRPr="00754733">
        <w:rPr>
          <w:color w:val="000000" w:themeColor="text1"/>
          <w:sz w:val="24"/>
          <w:szCs w:val="24"/>
        </w:rPr>
        <w:t>(</w:t>
      </w:r>
      <w:r w:rsidR="00D53981" w:rsidRPr="00754733">
        <w:rPr>
          <w:color w:val="000000" w:themeColor="text1"/>
          <w:sz w:val="24"/>
          <w:szCs w:val="24"/>
        </w:rPr>
        <w:t xml:space="preserve">2019, </w:t>
      </w:r>
      <w:r w:rsidR="00F51644" w:rsidRPr="00754733">
        <w:rPr>
          <w:color w:val="000000" w:themeColor="text1"/>
          <w:sz w:val="24"/>
          <w:szCs w:val="24"/>
        </w:rPr>
        <w:t>p. 340)</w:t>
      </w:r>
      <w:r w:rsidR="007F268B" w:rsidRPr="00754733">
        <w:rPr>
          <w:color w:val="000000" w:themeColor="text1"/>
          <w:sz w:val="24"/>
          <w:szCs w:val="24"/>
        </w:rPr>
        <w:t>.</w:t>
      </w:r>
    </w:p>
    <w:p w14:paraId="5B8E1084" w14:textId="6FB23774" w:rsidR="00C9542A" w:rsidRPr="00754733" w:rsidRDefault="00B24660" w:rsidP="00C9542A">
      <w:pPr>
        <w:pStyle w:val="ListParagraph"/>
        <w:numPr>
          <w:ilvl w:val="0"/>
          <w:numId w:val="5"/>
        </w:numPr>
        <w:rPr>
          <w:color w:val="000000" w:themeColor="text1"/>
          <w:sz w:val="24"/>
          <w:szCs w:val="24"/>
        </w:rPr>
      </w:pPr>
      <w:r w:rsidRPr="00754733">
        <w:rPr>
          <w:color w:val="000000" w:themeColor="text1"/>
          <w:sz w:val="24"/>
          <w:szCs w:val="24"/>
        </w:rPr>
        <w:t>Children’s Bureau</w:t>
      </w:r>
      <w:r w:rsidR="00900D49" w:rsidRPr="00754733">
        <w:rPr>
          <w:color w:val="000000" w:themeColor="text1"/>
          <w:sz w:val="24"/>
          <w:szCs w:val="24"/>
        </w:rPr>
        <w:t xml:space="preserve">’s statistics from 2020 indicate that </w:t>
      </w:r>
      <w:r w:rsidR="00275C43" w:rsidRPr="00754733">
        <w:rPr>
          <w:color w:val="000000" w:themeColor="text1"/>
          <w:sz w:val="24"/>
          <w:szCs w:val="24"/>
        </w:rPr>
        <w:t>9.4% of all children</w:t>
      </w:r>
      <w:r w:rsidR="006A4776" w:rsidRPr="00754733">
        <w:rPr>
          <w:color w:val="000000" w:themeColor="text1"/>
          <w:sz w:val="24"/>
          <w:szCs w:val="24"/>
        </w:rPr>
        <w:t xml:space="preserve"> (Children’s Bureau</w:t>
      </w:r>
      <w:r w:rsidR="00EF5DA7" w:rsidRPr="00754733">
        <w:rPr>
          <w:color w:val="000000" w:themeColor="text1"/>
          <w:sz w:val="24"/>
          <w:szCs w:val="24"/>
        </w:rPr>
        <w:t>, 2022)</w:t>
      </w:r>
      <w:r w:rsidR="006A4776" w:rsidRPr="00754733">
        <w:rPr>
          <w:color w:val="000000" w:themeColor="text1"/>
          <w:sz w:val="24"/>
          <w:szCs w:val="24"/>
        </w:rPr>
        <w:t>, which is almost 1 in 10 (Children’s Bureau Express Resources, 2021)</w:t>
      </w:r>
      <w:r w:rsidR="00E14D44">
        <w:rPr>
          <w:color w:val="000000" w:themeColor="text1"/>
          <w:sz w:val="24"/>
          <w:szCs w:val="24"/>
        </w:rPr>
        <w:t>,</w:t>
      </w:r>
      <w:r w:rsidR="00781AB9" w:rsidRPr="00754733">
        <w:rPr>
          <w:color w:val="000000" w:themeColor="text1"/>
          <w:sz w:val="24"/>
          <w:szCs w:val="24"/>
        </w:rPr>
        <w:t xml:space="preserve"> are sexually abused</w:t>
      </w:r>
      <w:r w:rsidR="006A4776" w:rsidRPr="00754733">
        <w:rPr>
          <w:color w:val="000000" w:themeColor="text1"/>
          <w:sz w:val="24"/>
          <w:szCs w:val="24"/>
        </w:rPr>
        <w:t>.</w:t>
      </w:r>
      <w:r w:rsidR="00C9542A" w:rsidRPr="00754733">
        <w:rPr>
          <w:color w:val="000000" w:themeColor="text1"/>
          <w:sz w:val="24"/>
          <w:szCs w:val="24"/>
        </w:rPr>
        <w:t xml:space="preserve"> Correct terminology for body parts, taught age appropriately, </w:t>
      </w:r>
      <w:r w:rsidR="00223460" w:rsidRPr="00754733">
        <w:rPr>
          <w:color w:val="000000" w:themeColor="text1"/>
          <w:sz w:val="24"/>
          <w:szCs w:val="24"/>
        </w:rPr>
        <w:t xml:space="preserve">and </w:t>
      </w:r>
      <w:r w:rsidR="001B070B" w:rsidRPr="00754733">
        <w:rPr>
          <w:color w:val="000000" w:themeColor="text1"/>
          <w:sz w:val="24"/>
          <w:szCs w:val="24"/>
        </w:rPr>
        <w:t xml:space="preserve">using them </w:t>
      </w:r>
      <w:r w:rsidR="00256BFB" w:rsidRPr="00754733">
        <w:rPr>
          <w:color w:val="000000" w:themeColor="text1"/>
          <w:sz w:val="24"/>
          <w:szCs w:val="24"/>
        </w:rPr>
        <w:t>nonchalantly</w:t>
      </w:r>
      <w:r w:rsidR="00360AD1" w:rsidRPr="00754733">
        <w:rPr>
          <w:color w:val="000000" w:themeColor="text1"/>
          <w:sz w:val="24"/>
          <w:szCs w:val="24"/>
        </w:rPr>
        <w:t xml:space="preserve">, which </w:t>
      </w:r>
      <w:r w:rsidR="00360AD1" w:rsidRPr="00754733">
        <w:rPr>
          <w:i/>
          <w:iCs/>
          <w:color w:val="000000" w:themeColor="text1"/>
          <w:sz w:val="24"/>
          <w:szCs w:val="24"/>
        </w:rPr>
        <w:t>The Higher Power of Luck</w:t>
      </w:r>
      <w:r w:rsidR="00360AD1" w:rsidRPr="00754733">
        <w:rPr>
          <w:color w:val="000000" w:themeColor="text1"/>
          <w:sz w:val="24"/>
          <w:szCs w:val="24"/>
        </w:rPr>
        <w:t>y does,</w:t>
      </w:r>
      <w:r w:rsidR="001B070B" w:rsidRPr="00754733">
        <w:rPr>
          <w:color w:val="000000" w:themeColor="text1"/>
          <w:sz w:val="24"/>
          <w:szCs w:val="24"/>
        </w:rPr>
        <w:t xml:space="preserve"> </w:t>
      </w:r>
      <w:r w:rsidR="00C9542A" w:rsidRPr="00754733">
        <w:rPr>
          <w:color w:val="000000" w:themeColor="text1"/>
          <w:sz w:val="24"/>
          <w:szCs w:val="24"/>
        </w:rPr>
        <w:t>is important in abuse prevention and education about sexual abuse (Bruni, 2013)</w:t>
      </w:r>
      <w:r w:rsidR="003100A9" w:rsidRPr="00754733">
        <w:rPr>
          <w:color w:val="000000" w:themeColor="text1"/>
          <w:sz w:val="24"/>
          <w:szCs w:val="24"/>
        </w:rPr>
        <w:t>. S</w:t>
      </w:r>
      <w:r w:rsidR="00952219" w:rsidRPr="00754733">
        <w:rPr>
          <w:color w:val="000000" w:themeColor="text1"/>
          <w:sz w:val="24"/>
          <w:szCs w:val="24"/>
        </w:rPr>
        <w:t>tudies</w:t>
      </w:r>
      <w:r w:rsidR="00C9542A" w:rsidRPr="00754733">
        <w:rPr>
          <w:color w:val="000000" w:themeColor="text1"/>
          <w:sz w:val="24"/>
          <w:szCs w:val="24"/>
        </w:rPr>
        <w:t xml:space="preserve"> have found that </w:t>
      </w:r>
      <w:r w:rsidR="00F323C8" w:rsidRPr="00754733">
        <w:rPr>
          <w:color w:val="000000" w:themeColor="text1"/>
          <w:sz w:val="24"/>
          <w:szCs w:val="24"/>
        </w:rPr>
        <w:t>using appropriate terms</w:t>
      </w:r>
      <w:r w:rsidR="00C9542A" w:rsidRPr="00754733">
        <w:rPr>
          <w:color w:val="000000" w:themeColor="text1"/>
          <w:sz w:val="24"/>
          <w:szCs w:val="24"/>
        </w:rPr>
        <w:t xml:space="preserve"> increases the rate at which children told about the abuse, increases their self-esteem, decrease</w:t>
      </w:r>
      <w:r w:rsidR="0036404A" w:rsidRPr="00754733">
        <w:rPr>
          <w:color w:val="000000" w:themeColor="text1"/>
          <w:sz w:val="24"/>
          <w:szCs w:val="24"/>
        </w:rPr>
        <w:t>s</w:t>
      </w:r>
      <w:r w:rsidR="00C9542A" w:rsidRPr="00754733">
        <w:rPr>
          <w:color w:val="000000" w:themeColor="text1"/>
          <w:sz w:val="24"/>
          <w:szCs w:val="24"/>
        </w:rPr>
        <w:t xml:space="preserve"> them blaming themselves (Bruni, 2013) (</w:t>
      </w:r>
      <w:proofErr w:type="spellStart"/>
      <w:r w:rsidR="00C9542A" w:rsidRPr="00754733">
        <w:rPr>
          <w:color w:val="000000" w:themeColor="text1"/>
          <w:sz w:val="24"/>
          <w:szCs w:val="24"/>
        </w:rPr>
        <w:t>Finkelor</w:t>
      </w:r>
      <w:proofErr w:type="spellEnd"/>
      <w:r w:rsidR="00C9542A" w:rsidRPr="00754733">
        <w:rPr>
          <w:color w:val="000000" w:themeColor="text1"/>
          <w:sz w:val="24"/>
          <w:szCs w:val="24"/>
        </w:rPr>
        <w:t>, 2009, p. 181)</w:t>
      </w:r>
      <w:r w:rsidR="00E14ABC" w:rsidRPr="00754733">
        <w:rPr>
          <w:color w:val="000000" w:themeColor="text1"/>
          <w:sz w:val="24"/>
          <w:szCs w:val="24"/>
        </w:rPr>
        <w:t>, teaches them that these are not bad words,</w:t>
      </w:r>
      <w:r w:rsidR="00FA0AD5" w:rsidRPr="00754733">
        <w:rPr>
          <w:color w:val="000000" w:themeColor="text1"/>
          <w:sz w:val="24"/>
          <w:szCs w:val="24"/>
        </w:rPr>
        <w:t xml:space="preserve"> and help</w:t>
      </w:r>
      <w:r w:rsidR="00ED6D69" w:rsidRPr="00754733">
        <w:rPr>
          <w:color w:val="000000" w:themeColor="text1"/>
          <w:sz w:val="24"/>
          <w:szCs w:val="24"/>
        </w:rPr>
        <w:t>s</w:t>
      </w:r>
      <w:r w:rsidR="00FA0AD5" w:rsidRPr="00754733">
        <w:rPr>
          <w:color w:val="000000" w:themeColor="text1"/>
          <w:sz w:val="24"/>
          <w:szCs w:val="24"/>
        </w:rPr>
        <w:t xml:space="preserve"> make them less vulnerable to sexual abuse (</w:t>
      </w:r>
      <w:proofErr w:type="spellStart"/>
      <w:r w:rsidR="00FA0AD5" w:rsidRPr="00754733">
        <w:rPr>
          <w:color w:val="000000" w:themeColor="text1"/>
          <w:sz w:val="24"/>
          <w:szCs w:val="24"/>
        </w:rPr>
        <w:t>Klass</w:t>
      </w:r>
      <w:proofErr w:type="spellEnd"/>
      <w:r w:rsidR="00FA0AD5" w:rsidRPr="00754733">
        <w:rPr>
          <w:color w:val="000000" w:themeColor="text1"/>
          <w:sz w:val="24"/>
          <w:szCs w:val="24"/>
        </w:rPr>
        <w:t>, 2016)</w:t>
      </w:r>
      <w:r w:rsidR="00182526">
        <w:rPr>
          <w:color w:val="000000" w:themeColor="text1"/>
          <w:sz w:val="24"/>
          <w:szCs w:val="24"/>
        </w:rPr>
        <w:t>.</w:t>
      </w:r>
    </w:p>
    <w:p w14:paraId="3B84BC2F" w14:textId="2A59A8F5" w:rsidR="00F652D9" w:rsidRPr="00754733" w:rsidRDefault="00675704" w:rsidP="0081079E">
      <w:pPr>
        <w:pStyle w:val="ListParagraph"/>
        <w:numPr>
          <w:ilvl w:val="0"/>
          <w:numId w:val="5"/>
        </w:numPr>
        <w:rPr>
          <w:color w:val="000000" w:themeColor="text1"/>
          <w:sz w:val="24"/>
          <w:szCs w:val="24"/>
        </w:rPr>
      </w:pPr>
      <w:r>
        <w:rPr>
          <w:color w:val="000000" w:themeColor="text1"/>
          <w:sz w:val="24"/>
          <w:szCs w:val="24"/>
        </w:rPr>
        <w:t>S</w:t>
      </w:r>
      <w:r w:rsidR="006F1052" w:rsidRPr="00754733">
        <w:rPr>
          <w:color w:val="000000" w:themeColor="text1"/>
          <w:sz w:val="24"/>
          <w:szCs w:val="24"/>
        </w:rPr>
        <w:t>tudents</w:t>
      </w:r>
      <w:r w:rsidR="00374A87" w:rsidRPr="00754733">
        <w:rPr>
          <w:color w:val="000000" w:themeColor="text1"/>
          <w:sz w:val="24"/>
          <w:szCs w:val="24"/>
        </w:rPr>
        <w:t>/children</w:t>
      </w:r>
      <w:r w:rsidR="006F1052" w:rsidRPr="00754733">
        <w:rPr>
          <w:color w:val="000000" w:themeColor="text1"/>
          <w:sz w:val="24"/>
          <w:szCs w:val="24"/>
        </w:rPr>
        <w:t xml:space="preserve"> do have </w:t>
      </w:r>
      <w:r w:rsidR="002C1F7B" w:rsidRPr="00754733">
        <w:rPr>
          <w:color w:val="000000" w:themeColor="text1"/>
          <w:sz w:val="24"/>
          <w:szCs w:val="24"/>
        </w:rPr>
        <w:t>F</w:t>
      </w:r>
      <w:r w:rsidR="006F1052" w:rsidRPr="00754733">
        <w:rPr>
          <w:color w:val="000000" w:themeColor="text1"/>
          <w:sz w:val="24"/>
          <w:szCs w:val="24"/>
        </w:rPr>
        <w:t xml:space="preserve">irst </w:t>
      </w:r>
      <w:r w:rsidR="002C1F7B" w:rsidRPr="00754733">
        <w:rPr>
          <w:color w:val="000000" w:themeColor="text1"/>
          <w:sz w:val="24"/>
          <w:szCs w:val="24"/>
        </w:rPr>
        <w:t>A</w:t>
      </w:r>
      <w:r w:rsidR="006F1052" w:rsidRPr="00754733">
        <w:rPr>
          <w:color w:val="000000" w:themeColor="text1"/>
          <w:sz w:val="24"/>
          <w:szCs w:val="24"/>
        </w:rPr>
        <w:t>mendment rights</w:t>
      </w:r>
      <w:r w:rsidR="002C1F7B" w:rsidRPr="00754733">
        <w:rPr>
          <w:color w:val="000000" w:themeColor="text1"/>
          <w:sz w:val="24"/>
          <w:szCs w:val="24"/>
        </w:rPr>
        <w:t xml:space="preserve"> (Whelan, </w:t>
      </w:r>
      <w:r w:rsidR="008E0C63" w:rsidRPr="00754733">
        <w:rPr>
          <w:color w:val="000000" w:themeColor="text1"/>
          <w:sz w:val="24"/>
          <w:szCs w:val="24"/>
        </w:rPr>
        <w:t>2009)</w:t>
      </w:r>
      <w:r w:rsidR="00DA1CEC">
        <w:rPr>
          <w:color w:val="000000" w:themeColor="text1"/>
          <w:sz w:val="24"/>
          <w:szCs w:val="24"/>
        </w:rPr>
        <w:t>.</w:t>
      </w:r>
      <w:r w:rsidR="001920D5">
        <w:rPr>
          <w:color w:val="000000" w:themeColor="text1"/>
          <w:sz w:val="24"/>
          <w:szCs w:val="24"/>
        </w:rPr>
        <w:t xml:space="preserve"> </w:t>
      </w:r>
      <w:r w:rsidR="00DA1CEC">
        <w:rPr>
          <w:color w:val="000000" w:themeColor="text1"/>
          <w:sz w:val="24"/>
          <w:szCs w:val="24"/>
        </w:rPr>
        <w:t>Further examination of this concept</w:t>
      </w:r>
      <w:r w:rsidR="001A213F">
        <w:rPr>
          <w:color w:val="000000" w:themeColor="text1"/>
          <w:sz w:val="24"/>
          <w:szCs w:val="24"/>
        </w:rPr>
        <w:t xml:space="preserve"> </w:t>
      </w:r>
      <w:r w:rsidR="002F4DD8">
        <w:rPr>
          <w:color w:val="000000" w:themeColor="text1"/>
          <w:sz w:val="24"/>
          <w:szCs w:val="24"/>
        </w:rPr>
        <w:t>include</w:t>
      </w:r>
      <w:r w:rsidR="00DA1CEC">
        <w:rPr>
          <w:color w:val="000000" w:themeColor="text1"/>
          <w:sz w:val="24"/>
          <w:szCs w:val="24"/>
        </w:rPr>
        <w:t>s</w:t>
      </w:r>
      <w:r w:rsidR="001A213F">
        <w:rPr>
          <w:color w:val="000000" w:themeColor="text1"/>
          <w:sz w:val="24"/>
          <w:szCs w:val="24"/>
        </w:rPr>
        <w:t xml:space="preserve"> when a court ordered </w:t>
      </w:r>
      <w:r w:rsidR="006B7DBF" w:rsidRPr="00754733">
        <w:rPr>
          <w:i/>
          <w:iCs/>
          <w:color w:val="000000" w:themeColor="text1"/>
          <w:sz w:val="24"/>
          <w:szCs w:val="24"/>
        </w:rPr>
        <w:t>Annie on My Mind</w:t>
      </w:r>
      <w:r w:rsidR="006B7DBF" w:rsidRPr="00754733">
        <w:rPr>
          <w:color w:val="000000" w:themeColor="text1"/>
          <w:sz w:val="24"/>
          <w:szCs w:val="24"/>
        </w:rPr>
        <w:t xml:space="preserve"> had to be returned to the high school library</w:t>
      </w:r>
      <w:r w:rsidR="004E0C95" w:rsidRPr="00754733">
        <w:rPr>
          <w:color w:val="000000" w:themeColor="text1"/>
          <w:sz w:val="24"/>
          <w:szCs w:val="24"/>
        </w:rPr>
        <w:t xml:space="preserve"> because it was “educationally suitable</w:t>
      </w:r>
      <w:r w:rsidR="000C606D" w:rsidRPr="00754733">
        <w:rPr>
          <w:color w:val="000000" w:themeColor="text1"/>
          <w:sz w:val="24"/>
          <w:szCs w:val="24"/>
        </w:rPr>
        <w:t>,</w:t>
      </w:r>
      <w:r w:rsidR="004E0C95" w:rsidRPr="00754733">
        <w:rPr>
          <w:color w:val="000000" w:themeColor="text1"/>
          <w:sz w:val="24"/>
          <w:szCs w:val="24"/>
        </w:rPr>
        <w:t>” whe</w:t>
      </w:r>
      <w:r w:rsidR="00415B58">
        <w:rPr>
          <w:color w:val="000000" w:themeColor="text1"/>
          <w:sz w:val="24"/>
          <w:szCs w:val="24"/>
        </w:rPr>
        <w:t>n</w:t>
      </w:r>
      <w:r w:rsidR="004E0C95" w:rsidRPr="00754733">
        <w:rPr>
          <w:color w:val="000000" w:themeColor="text1"/>
          <w:sz w:val="24"/>
          <w:szCs w:val="24"/>
        </w:rPr>
        <w:t xml:space="preserve"> </w:t>
      </w:r>
      <w:r w:rsidR="001A213F">
        <w:rPr>
          <w:color w:val="000000" w:themeColor="text1"/>
          <w:sz w:val="24"/>
          <w:szCs w:val="24"/>
        </w:rPr>
        <w:t xml:space="preserve">a court ordered </w:t>
      </w:r>
      <w:r w:rsidR="004E0C95" w:rsidRPr="00754733">
        <w:rPr>
          <w:color w:val="000000" w:themeColor="text1"/>
          <w:sz w:val="24"/>
          <w:szCs w:val="24"/>
        </w:rPr>
        <w:t xml:space="preserve">the “Harry Potter” series had to be </w:t>
      </w:r>
      <w:r w:rsidR="00CA67F4" w:rsidRPr="00754733">
        <w:rPr>
          <w:color w:val="000000" w:themeColor="text1"/>
          <w:sz w:val="24"/>
          <w:szCs w:val="24"/>
        </w:rPr>
        <w:t xml:space="preserve">returned to the </w:t>
      </w:r>
      <w:r w:rsidR="00CA67F4" w:rsidRPr="00754733">
        <w:rPr>
          <w:color w:val="000000" w:themeColor="text1"/>
          <w:sz w:val="24"/>
          <w:szCs w:val="24"/>
        </w:rPr>
        <w:lastRenderedPageBreak/>
        <w:t>Cedarville School District libraries</w:t>
      </w:r>
      <w:r w:rsidR="009A0F37" w:rsidRPr="00754733">
        <w:rPr>
          <w:color w:val="000000" w:themeColor="text1"/>
          <w:sz w:val="24"/>
          <w:szCs w:val="24"/>
        </w:rPr>
        <w:t>, which had removed</w:t>
      </w:r>
      <w:r w:rsidR="00EC1962" w:rsidRPr="00754733">
        <w:rPr>
          <w:color w:val="000000" w:themeColor="text1"/>
          <w:sz w:val="24"/>
          <w:szCs w:val="24"/>
        </w:rPr>
        <w:t xml:space="preserve"> the books, only allowing those with written permission </w:t>
      </w:r>
      <w:r w:rsidR="004E008E" w:rsidRPr="00754733">
        <w:rPr>
          <w:color w:val="000000" w:themeColor="text1"/>
          <w:sz w:val="24"/>
          <w:szCs w:val="24"/>
        </w:rPr>
        <w:t xml:space="preserve">from </w:t>
      </w:r>
      <w:r w:rsidR="00EC1962" w:rsidRPr="00754733">
        <w:rPr>
          <w:color w:val="000000" w:themeColor="text1"/>
          <w:sz w:val="24"/>
          <w:szCs w:val="24"/>
        </w:rPr>
        <w:t>parents access to read them</w:t>
      </w:r>
      <w:r w:rsidR="00CA67F4" w:rsidRPr="00754733">
        <w:rPr>
          <w:color w:val="000000" w:themeColor="text1"/>
          <w:sz w:val="24"/>
          <w:szCs w:val="24"/>
        </w:rPr>
        <w:t xml:space="preserve"> (</w:t>
      </w:r>
      <w:r w:rsidR="00A17C68" w:rsidRPr="00754733">
        <w:rPr>
          <w:color w:val="000000" w:themeColor="text1"/>
          <w:sz w:val="24"/>
          <w:szCs w:val="24"/>
        </w:rPr>
        <w:t xml:space="preserve">Whelan, </w:t>
      </w:r>
      <w:r w:rsidR="003C2BAB" w:rsidRPr="00754733">
        <w:rPr>
          <w:color w:val="000000" w:themeColor="text1"/>
          <w:sz w:val="24"/>
          <w:szCs w:val="24"/>
        </w:rPr>
        <w:t>2009</w:t>
      </w:r>
      <w:r w:rsidR="00A17C68" w:rsidRPr="00754733">
        <w:rPr>
          <w:color w:val="000000" w:themeColor="text1"/>
          <w:sz w:val="24"/>
          <w:szCs w:val="24"/>
        </w:rPr>
        <w:t>)</w:t>
      </w:r>
      <w:r w:rsidR="00B94AC3">
        <w:rPr>
          <w:color w:val="000000" w:themeColor="text1"/>
          <w:sz w:val="24"/>
          <w:szCs w:val="24"/>
        </w:rPr>
        <w:t xml:space="preserve">, </w:t>
      </w:r>
      <w:r w:rsidR="001A213F">
        <w:rPr>
          <w:color w:val="000000" w:themeColor="text1"/>
          <w:sz w:val="24"/>
          <w:szCs w:val="24"/>
        </w:rPr>
        <w:t xml:space="preserve">when </w:t>
      </w:r>
      <w:r w:rsidR="006D68BB">
        <w:rPr>
          <w:color w:val="000000" w:themeColor="text1"/>
          <w:sz w:val="24"/>
          <w:szCs w:val="24"/>
        </w:rPr>
        <w:t xml:space="preserve">a Chicago library board refused to remove a children’s book on gay pride </w:t>
      </w:r>
      <w:r w:rsidR="00A82393">
        <w:rPr>
          <w:color w:val="000000" w:themeColor="text1"/>
          <w:sz w:val="24"/>
          <w:szCs w:val="24"/>
        </w:rPr>
        <w:t>from the children’s section</w:t>
      </w:r>
      <w:r w:rsidR="002F4DD8">
        <w:rPr>
          <w:color w:val="000000" w:themeColor="text1"/>
          <w:sz w:val="24"/>
          <w:szCs w:val="24"/>
        </w:rPr>
        <w:t>,</w:t>
      </w:r>
      <w:r w:rsidR="00A82393">
        <w:rPr>
          <w:color w:val="000000" w:themeColor="text1"/>
          <w:sz w:val="24"/>
          <w:szCs w:val="24"/>
        </w:rPr>
        <w:t xml:space="preserve"> (</w:t>
      </w:r>
      <w:proofErr w:type="spellStart"/>
      <w:r w:rsidR="00A82393">
        <w:rPr>
          <w:color w:val="000000" w:themeColor="text1"/>
          <w:sz w:val="24"/>
          <w:szCs w:val="24"/>
        </w:rPr>
        <w:t>Mccoppin</w:t>
      </w:r>
      <w:proofErr w:type="spellEnd"/>
      <w:r w:rsidR="00A82393">
        <w:rPr>
          <w:color w:val="000000" w:themeColor="text1"/>
          <w:sz w:val="24"/>
          <w:szCs w:val="24"/>
        </w:rPr>
        <w:t>, 2017</w:t>
      </w:r>
      <w:r w:rsidR="00E045F6">
        <w:rPr>
          <w:color w:val="000000" w:themeColor="text1"/>
          <w:sz w:val="24"/>
          <w:szCs w:val="24"/>
        </w:rPr>
        <w:t>)</w:t>
      </w:r>
      <w:r w:rsidR="00B94AC3">
        <w:rPr>
          <w:color w:val="000000" w:themeColor="text1"/>
          <w:sz w:val="24"/>
          <w:szCs w:val="24"/>
        </w:rPr>
        <w:t xml:space="preserve"> and in Henrico</w:t>
      </w:r>
      <w:r w:rsidR="00DE4E14">
        <w:rPr>
          <w:color w:val="000000" w:themeColor="text1"/>
          <w:sz w:val="24"/>
          <w:szCs w:val="24"/>
        </w:rPr>
        <w:t xml:space="preserve"> Public Library’s Collection </w:t>
      </w:r>
      <w:r w:rsidR="002F4DD8">
        <w:rPr>
          <w:color w:val="000000" w:themeColor="text1"/>
          <w:sz w:val="24"/>
          <w:szCs w:val="24"/>
        </w:rPr>
        <w:t>M</w:t>
      </w:r>
      <w:r w:rsidR="00DE4E14">
        <w:rPr>
          <w:color w:val="000000" w:themeColor="text1"/>
          <w:sz w:val="24"/>
          <w:szCs w:val="24"/>
        </w:rPr>
        <w:t xml:space="preserve">anagement </w:t>
      </w:r>
      <w:r w:rsidR="002F4DD8">
        <w:rPr>
          <w:color w:val="000000" w:themeColor="text1"/>
          <w:sz w:val="24"/>
          <w:szCs w:val="24"/>
        </w:rPr>
        <w:t>P</w:t>
      </w:r>
      <w:r w:rsidR="00DE4E14">
        <w:rPr>
          <w:color w:val="000000" w:themeColor="text1"/>
          <w:sz w:val="24"/>
          <w:szCs w:val="24"/>
        </w:rPr>
        <w:t xml:space="preserve">olicy that </w:t>
      </w:r>
      <w:r w:rsidR="00DE4E14" w:rsidRPr="00F16C01">
        <w:rPr>
          <w:color w:val="000000" w:themeColor="text1"/>
          <w:sz w:val="24"/>
          <w:szCs w:val="24"/>
        </w:rPr>
        <w:t xml:space="preserve">says, </w:t>
      </w:r>
      <w:r w:rsidR="001313A9" w:rsidRPr="00F16C01">
        <w:rPr>
          <w:color w:val="000000" w:themeColor="text1"/>
          <w:sz w:val="24"/>
          <w:szCs w:val="24"/>
        </w:rPr>
        <w:t>“T</w:t>
      </w:r>
      <w:r w:rsidR="001313A9" w:rsidRPr="00F16C01">
        <w:rPr>
          <w:sz w:val="24"/>
          <w:szCs w:val="24"/>
        </w:rPr>
        <w:t>he library upholds the right of every customer to access material and information, even if the content is controversial or unacceptable to others</w:t>
      </w:r>
      <w:r w:rsidR="001313A9" w:rsidRPr="00F16C01">
        <w:rPr>
          <w:color w:val="000000" w:themeColor="text1"/>
          <w:sz w:val="24"/>
          <w:szCs w:val="24"/>
        </w:rPr>
        <w:t>” (Henrico Public Library, 202</w:t>
      </w:r>
      <w:r w:rsidR="00281A9D">
        <w:rPr>
          <w:color w:val="000000" w:themeColor="text1"/>
          <w:sz w:val="24"/>
          <w:szCs w:val="24"/>
        </w:rPr>
        <w:t>0</w:t>
      </w:r>
      <w:r w:rsidR="001313A9" w:rsidRPr="00F16C01">
        <w:rPr>
          <w:color w:val="000000" w:themeColor="text1"/>
          <w:sz w:val="24"/>
          <w:szCs w:val="24"/>
        </w:rPr>
        <w:t>).</w:t>
      </w:r>
      <w:r w:rsidR="006F4796">
        <w:rPr>
          <w:color w:val="000000" w:themeColor="text1"/>
          <w:sz w:val="24"/>
          <w:szCs w:val="24"/>
        </w:rPr>
        <w:t xml:space="preserve"> Moreover,</w:t>
      </w:r>
      <w:r w:rsidR="00653763" w:rsidRPr="00754733">
        <w:rPr>
          <w:color w:val="000000" w:themeColor="text1"/>
          <w:sz w:val="24"/>
          <w:szCs w:val="24"/>
        </w:rPr>
        <w:t xml:space="preserve"> </w:t>
      </w:r>
      <w:r w:rsidR="00BE2234" w:rsidRPr="00754733">
        <w:rPr>
          <w:color w:val="000000" w:themeColor="text1"/>
          <w:sz w:val="24"/>
          <w:szCs w:val="24"/>
        </w:rPr>
        <w:t>Ferguson found reading controversial books did not seem to cause criminal behavior issues and instead increased civic action and charitableness</w:t>
      </w:r>
      <w:r w:rsidR="00F16C01">
        <w:rPr>
          <w:color w:val="000000" w:themeColor="text1"/>
          <w:sz w:val="24"/>
          <w:szCs w:val="24"/>
        </w:rPr>
        <w:t xml:space="preserve"> in chi</w:t>
      </w:r>
      <w:r w:rsidR="0016556B">
        <w:rPr>
          <w:color w:val="000000" w:themeColor="text1"/>
          <w:sz w:val="24"/>
          <w:szCs w:val="24"/>
        </w:rPr>
        <w:t>l</w:t>
      </w:r>
      <w:r w:rsidR="00F16C01">
        <w:rPr>
          <w:color w:val="000000" w:themeColor="text1"/>
          <w:sz w:val="24"/>
          <w:szCs w:val="24"/>
        </w:rPr>
        <w:t>dren</w:t>
      </w:r>
      <w:r w:rsidR="00BE2234" w:rsidRPr="00754733">
        <w:rPr>
          <w:color w:val="000000" w:themeColor="text1"/>
          <w:sz w:val="24"/>
          <w:szCs w:val="24"/>
        </w:rPr>
        <w:t xml:space="preserve"> (2014, p. 357).</w:t>
      </w:r>
    </w:p>
    <w:p w14:paraId="5A4A27BD" w14:textId="3AB3CCC0" w:rsidR="006F1052" w:rsidRPr="00754733" w:rsidRDefault="00F652D9" w:rsidP="0081079E">
      <w:pPr>
        <w:pStyle w:val="ListParagraph"/>
        <w:numPr>
          <w:ilvl w:val="0"/>
          <w:numId w:val="5"/>
        </w:numPr>
        <w:rPr>
          <w:color w:val="000000" w:themeColor="text1"/>
          <w:sz w:val="24"/>
          <w:szCs w:val="24"/>
        </w:rPr>
      </w:pPr>
      <w:r w:rsidRPr="00754733">
        <w:rPr>
          <w:color w:val="000000" w:themeColor="text1"/>
          <w:sz w:val="24"/>
          <w:szCs w:val="24"/>
        </w:rPr>
        <w:t xml:space="preserve">If </w:t>
      </w:r>
      <w:r w:rsidRPr="00754733">
        <w:rPr>
          <w:i/>
          <w:iCs/>
          <w:color w:val="000000" w:themeColor="text1"/>
          <w:sz w:val="24"/>
          <w:szCs w:val="24"/>
        </w:rPr>
        <w:t>The Higher Power of Lucky</w:t>
      </w:r>
      <w:r w:rsidRPr="00754733">
        <w:rPr>
          <w:color w:val="000000" w:themeColor="text1"/>
          <w:sz w:val="24"/>
          <w:szCs w:val="24"/>
        </w:rPr>
        <w:t xml:space="preserve"> were moved to the young adult section as opposed to keeping it in the children’s section</w:t>
      </w:r>
      <w:r w:rsidR="003C39DF" w:rsidRPr="00754733">
        <w:rPr>
          <w:color w:val="000000" w:themeColor="text1"/>
          <w:sz w:val="24"/>
          <w:szCs w:val="24"/>
        </w:rPr>
        <w:t xml:space="preserve">, it would greatly shorten the window at which this book would be read </w:t>
      </w:r>
      <w:r w:rsidR="00CA12D4">
        <w:rPr>
          <w:color w:val="000000" w:themeColor="text1"/>
          <w:sz w:val="24"/>
          <w:szCs w:val="24"/>
        </w:rPr>
        <w:t xml:space="preserve">seeing as the reading level </w:t>
      </w:r>
      <w:r w:rsidR="00D715D6">
        <w:rPr>
          <w:color w:val="000000" w:themeColor="text1"/>
          <w:sz w:val="24"/>
          <w:szCs w:val="24"/>
        </w:rPr>
        <w:t>is</w:t>
      </w:r>
      <w:r w:rsidR="00CA12D4">
        <w:rPr>
          <w:color w:val="000000" w:themeColor="text1"/>
          <w:sz w:val="24"/>
          <w:szCs w:val="24"/>
        </w:rPr>
        <w:t xml:space="preserve"> mostly in elementary school age</w:t>
      </w:r>
      <w:r w:rsidR="00D715D6">
        <w:rPr>
          <w:color w:val="000000" w:themeColor="text1"/>
          <w:sz w:val="24"/>
          <w:szCs w:val="24"/>
        </w:rPr>
        <w:t xml:space="preserve"> children,</w:t>
      </w:r>
      <w:r w:rsidR="00837D6A">
        <w:rPr>
          <w:color w:val="000000" w:themeColor="text1"/>
          <w:sz w:val="24"/>
          <w:szCs w:val="24"/>
        </w:rPr>
        <w:t xml:space="preserve"> which falls under the umbrella of</w:t>
      </w:r>
      <w:r w:rsidR="008525F8">
        <w:rPr>
          <w:color w:val="000000" w:themeColor="text1"/>
          <w:sz w:val="24"/>
          <w:szCs w:val="24"/>
        </w:rPr>
        <w:t xml:space="preserve"> the children’s section</w:t>
      </w:r>
      <w:r w:rsidR="003C39DF" w:rsidRPr="00754733">
        <w:rPr>
          <w:color w:val="000000" w:themeColor="text1"/>
          <w:sz w:val="24"/>
          <w:szCs w:val="24"/>
        </w:rPr>
        <w:t>,</w:t>
      </w:r>
      <w:r w:rsidR="00837D6A">
        <w:rPr>
          <w:color w:val="000000" w:themeColor="text1"/>
          <w:sz w:val="24"/>
          <w:szCs w:val="24"/>
        </w:rPr>
        <w:t xml:space="preserve"> and that</w:t>
      </w:r>
      <w:r w:rsidR="003C39DF" w:rsidRPr="00754733">
        <w:rPr>
          <w:color w:val="000000" w:themeColor="text1"/>
          <w:sz w:val="24"/>
          <w:szCs w:val="24"/>
        </w:rPr>
        <w:t xml:space="preserve"> would be against the </w:t>
      </w:r>
      <w:r w:rsidR="00675704" w:rsidRPr="00754733">
        <w:rPr>
          <w:color w:val="000000" w:themeColor="text1"/>
          <w:sz w:val="24"/>
          <w:szCs w:val="24"/>
        </w:rPr>
        <w:t>ALA’s Bill of Rights</w:t>
      </w:r>
      <w:r w:rsidR="0088433F">
        <w:rPr>
          <w:color w:val="000000" w:themeColor="text1"/>
          <w:sz w:val="24"/>
          <w:szCs w:val="24"/>
        </w:rPr>
        <w:t xml:space="preserve"> that</w:t>
      </w:r>
      <w:r w:rsidR="00675704" w:rsidRPr="00754733">
        <w:rPr>
          <w:color w:val="000000" w:themeColor="text1"/>
          <w:sz w:val="24"/>
          <w:szCs w:val="24"/>
        </w:rPr>
        <w:t xml:space="preserve"> says, “</w:t>
      </w:r>
      <w:r w:rsidR="00675704" w:rsidRPr="00754733">
        <w:rPr>
          <w:color w:val="000000" w:themeColor="text1"/>
          <w:sz w:val="24"/>
          <w:szCs w:val="24"/>
          <w:shd w:val="clear" w:color="auto" w:fill="FEFEFE"/>
        </w:rPr>
        <w:t>Libraries should challenge censorship in the fulfillment of their responsibility to provide information and enlightenment” (ALA, 2022)</w:t>
      </w:r>
      <w:r w:rsidR="004C5FDE" w:rsidRPr="00754733">
        <w:rPr>
          <w:color w:val="000000" w:themeColor="text1"/>
          <w:sz w:val="24"/>
          <w:szCs w:val="24"/>
        </w:rPr>
        <w:t xml:space="preserve">. </w:t>
      </w:r>
      <w:r w:rsidR="00755006" w:rsidRPr="00754733">
        <w:rPr>
          <w:color w:val="000000" w:themeColor="text1"/>
          <w:sz w:val="24"/>
          <w:szCs w:val="24"/>
        </w:rPr>
        <w:t>Th</w:t>
      </w:r>
      <w:r w:rsidR="00B80832" w:rsidRPr="00754733">
        <w:rPr>
          <w:color w:val="000000" w:themeColor="text1"/>
          <w:sz w:val="24"/>
          <w:szCs w:val="24"/>
        </w:rPr>
        <w:t>e reading level suggest</w:t>
      </w:r>
      <w:r w:rsidR="00D715D6">
        <w:rPr>
          <w:color w:val="000000" w:themeColor="text1"/>
          <w:sz w:val="24"/>
          <w:szCs w:val="24"/>
        </w:rPr>
        <w:t>s</w:t>
      </w:r>
      <w:r w:rsidR="00755006" w:rsidRPr="00754733">
        <w:rPr>
          <w:color w:val="000000" w:themeColor="text1"/>
          <w:sz w:val="24"/>
          <w:szCs w:val="24"/>
        </w:rPr>
        <w:t xml:space="preserve"> this book is appropriate for older elementary school students</w:t>
      </w:r>
      <w:r w:rsidR="00481587" w:rsidRPr="00754733">
        <w:rPr>
          <w:color w:val="000000" w:themeColor="text1"/>
          <w:sz w:val="24"/>
          <w:szCs w:val="24"/>
        </w:rPr>
        <w:t xml:space="preserve"> as did </w:t>
      </w:r>
      <w:r w:rsidR="00B4729D" w:rsidRPr="00754733">
        <w:rPr>
          <w:color w:val="000000" w:themeColor="text1"/>
          <w:sz w:val="24"/>
          <w:szCs w:val="24"/>
        </w:rPr>
        <w:t xml:space="preserve">one </w:t>
      </w:r>
      <w:r w:rsidR="008C5363">
        <w:rPr>
          <w:color w:val="000000" w:themeColor="text1"/>
          <w:sz w:val="24"/>
          <w:szCs w:val="24"/>
        </w:rPr>
        <w:t>participant</w:t>
      </w:r>
      <w:r w:rsidR="00481587" w:rsidRPr="00754733">
        <w:rPr>
          <w:color w:val="000000" w:themeColor="text1"/>
          <w:sz w:val="24"/>
          <w:szCs w:val="24"/>
        </w:rPr>
        <w:t xml:space="preserve"> in the study of </w:t>
      </w:r>
      <w:r w:rsidR="008A5426" w:rsidRPr="00754733">
        <w:rPr>
          <w:color w:val="000000" w:themeColor="text1"/>
          <w:sz w:val="24"/>
          <w:szCs w:val="24"/>
        </w:rPr>
        <w:t>teaching and librarian graduate students (</w:t>
      </w:r>
      <w:r w:rsidR="007C57F5">
        <w:rPr>
          <w:color w:val="000000" w:themeColor="text1"/>
          <w:sz w:val="24"/>
          <w:szCs w:val="24"/>
        </w:rPr>
        <w:t>Hartsfield &amp; Kimmel</w:t>
      </w:r>
      <w:r w:rsidR="008A5426" w:rsidRPr="00754733">
        <w:rPr>
          <w:color w:val="000000" w:themeColor="text1"/>
          <w:sz w:val="24"/>
          <w:szCs w:val="24"/>
        </w:rPr>
        <w:t xml:space="preserve">, </w:t>
      </w:r>
      <w:r w:rsidR="001D77E2" w:rsidRPr="00754733">
        <w:rPr>
          <w:color w:val="000000" w:themeColor="text1"/>
          <w:sz w:val="24"/>
          <w:szCs w:val="24"/>
        </w:rPr>
        <w:t xml:space="preserve">2019, p. </w:t>
      </w:r>
      <w:r w:rsidR="00B4729D" w:rsidRPr="00754733">
        <w:rPr>
          <w:color w:val="000000" w:themeColor="text1"/>
          <w:sz w:val="24"/>
          <w:szCs w:val="24"/>
        </w:rPr>
        <w:t>340)</w:t>
      </w:r>
      <w:r w:rsidR="005C6E33" w:rsidRPr="00754733">
        <w:rPr>
          <w:color w:val="000000" w:themeColor="text1"/>
          <w:sz w:val="24"/>
          <w:szCs w:val="24"/>
        </w:rPr>
        <w:t>,</w:t>
      </w:r>
      <w:r w:rsidR="00B80832" w:rsidRPr="00754733">
        <w:rPr>
          <w:color w:val="000000" w:themeColor="text1"/>
          <w:sz w:val="24"/>
          <w:szCs w:val="24"/>
        </w:rPr>
        <w:t xml:space="preserve"> </w:t>
      </w:r>
      <w:r w:rsidR="00061C67" w:rsidRPr="00754733">
        <w:rPr>
          <w:color w:val="000000" w:themeColor="text1"/>
          <w:sz w:val="24"/>
          <w:szCs w:val="24"/>
        </w:rPr>
        <w:t xml:space="preserve">and </w:t>
      </w:r>
      <w:r w:rsidR="00943CC2">
        <w:rPr>
          <w:color w:val="000000" w:themeColor="text1"/>
          <w:sz w:val="24"/>
          <w:szCs w:val="24"/>
        </w:rPr>
        <w:t>a child</w:t>
      </w:r>
      <w:r w:rsidR="00EF42E8" w:rsidRPr="00754733">
        <w:rPr>
          <w:color w:val="000000" w:themeColor="text1"/>
          <w:sz w:val="24"/>
          <w:szCs w:val="24"/>
        </w:rPr>
        <w:t>’</w:t>
      </w:r>
      <w:r w:rsidR="00061C67" w:rsidRPr="00754733">
        <w:rPr>
          <w:color w:val="000000" w:themeColor="text1"/>
          <w:sz w:val="24"/>
          <w:szCs w:val="24"/>
        </w:rPr>
        <w:t>s access</w:t>
      </w:r>
      <w:r w:rsidR="00943CC2">
        <w:rPr>
          <w:color w:val="000000" w:themeColor="text1"/>
          <w:sz w:val="24"/>
          <w:szCs w:val="24"/>
        </w:rPr>
        <w:t xml:space="preserve"> </w:t>
      </w:r>
      <w:r w:rsidR="00F71848">
        <w:rPr>
          <w:color w:val="000000" w:themeColor="text1"/>
          <w:sz w:val="24"/>
          <w:szCs w:val="24"/>
        </w:rPr>
        <w:t xml:space="preserve">to information </w:t>
      </w:r>
      <w:r w:rsidR="00943CC2">
        <w:rPr>
          <w:color w:val="000000" w:themeColor="text1"/>
          <w:sz w:val="24"/>
          <w:szCs w:val="24"/>
        </w:rPr>
        <w:t xml:space="preserve">should not be </w:t>
      </w:r>
      <w:r w:rsidR="00F05B61">
        <w:rPr>
          <w:color w:val="000000" w:themeColor="text1"/>
          <w:sz w:val="24"/>
          <w:szCs w:val="24"/>
        </w:rPr>
        <w:t>hampered as the point from the ALA Bill of Right</w:t>
      </w:r>
      <w:r w:rsidR="009948EB">
        <w:rPr>
          <w:color w:val="000000" w:themeColor="text1"/>
          <w:sz w:val="24"/>
          <w:szCs w:val="24"/>
        </w:rPr>
        <w:t>s</w:t>
      </w:r>
      <w:r w:rsidR="00F05B61">
        <w:rPr>
          <w:color w:val="000000" w:themeColor="text1"/>
          <w:sz w:val="24"/>
          <w:szCs w:val="24"/>
        </w:rPr>
        <w:t xml:space="preserve"> says</w:t>
      </w:r>
      <w:r w:rsidR="00F16C01">
        <w:rPr>
          <w:color w:val="000000" w:themeColor="text1"/>
          <w:sz w:val="24"/>
          <w:szCs w:val="24"/>
        </w:rPr>
        <w:t xml:space="preserve"> and as Henrico County</w:t>
      </w:r>
      <w:r w:rsidR="00E75A9E">
        <w:rPr>
          <w:color w:val="000000" w:themeColor="text1"/>
          <w:sz w:val="24"/>
          <w:szCs w:val="24"/>
        </w:rPr>
        <w:t xml:space="preserve"> Public Library’s Collection </w:t>
      </w:r>
      <w:r w:rsidR="005B00E3">
        <w:rPr>
          <w:color w:val="000000" w:themeColor="text1"/>
          <w:sz w:val="24"/>
          <w:szCs w:val="24"/>
        </w:rPr>
        <w:t>Management</w:t>
      </w:r>
      <w:r w:rsidR="00E75A9E">
        <w:rPr>
          <w:color w:val="000000" w:themeColor="text1"/>
          <w:sz w:val="24"/>
          <w:szCs w:val="24"/>
        </w:rPr>
        <w:t xml:space="preserve"> </w:t>
      </w:r>
      <w:r w:rsidR="00AC7E09">
        <w:rPr>
          <w:color w:val="000000" w:themeColor="text1"/>
          <w:sz w:val="24"/>
          <w:szCs w:val="24"/>
        </w:rPr>
        <w:t>P</w:t>
      </w:r>
      <w:r w:rsidR="00E75A9E">
        <w:rPr>
          <w:color w:val="000000" w:themeColor="text1"/>
          <w:sz w:val="24"/>
          <w:szCs w:val="24"/>
        </w:rPr>
        <w:t>olicy states with its use of the word</w:t>
      </w:r>
      <w:r w:rsidR="00C4643E">
        <w:rPr>
          <w:color w:val="000000" w:themeColor="text1"/>
          <w:sz w:val="24"/>
          <w:szCs w:val="24"/>
        </w:rPr>
        <w:t>s</w:t>
      </w:r>
      <w:r w:rsidR="00F71848">
        <w:rPr>
          <w:color w:val="000000" w:themeColor="text1"/>
          <w:sz w:val="24"/>
          <w:szCs w:val="24"/>
        </w:rPr>
        <w:t>,</w:t>
      </w:r>
      <w:r w:rsidR="00E75A9E">
        <w:rPr>
          <w:color w:val="000000" w:themeColor="text1"/>
          <w:sz w:val="24"/>
          <w:szCs w:val="24"/>
        </w:rPr>
        <w:t xml:space="preserve"> “every</w:t>
      </w:r>
      <w:r w:rsidR="00C4643E">
        <w:rPr>
          <w:color w:val="000000" w:themeColor="text1"/>
          <w:sz w:val="24"/>
          <w:szCs w:val="24"/>
        </w:rPr>
        <w:t xml:space="preserve"> customer” (Henrico County Public Library, 202</w:t>
      </w:r>
      <w:r w:rsidR="00281A9D">
        <w:rPr>
          <w:color w:val="000000" w:themeColor="text1"/>
          <w:sz w:val="24"/>
          <w:szCs w:val="24"/>
        </w:rPr>
        <w:t>0</w:t>
      </w:r>
      <w:r w:rsidR="00C4643E">
        <w:rPr>
          <w:color w:val="000000" w:themeColor="text1"/>
          <w:sz w:val="24"/>
          <w:szCs w:val="24"/>
        </w:rPr>
        <w:t>)</w:t>
      </w:r>
      <w:r w:rsidR="007C1B56" w:rsidRPr="00754733">
        <w:rPr>
          <w:color w:val="000000" w:themeColor="text1"/>
          <w:sz w:val="24"/>
          <w:szCs w:val="24"/>
        </w:rPr>
        <w:t>.</w:t>
      </w:r>
      <w:r w:rsidR="00225A76" w:rsidRPr="00754733">
        <w:rPr>
          <w:color w:val="000000" w:themeColor="text1"/>
          <w:sz w:val="24"/>
          <w:szCs w:val="24"/>
        </w:rPr>
        <w:t xml:space="preserve"> The proposal should be </w:t>
      </w:r>
      <w:r w:rsidR="00AC7E09">
        <w:rPr>
          <w:color w:val="000000" w:themeColor="text1"/>
          <w:sz w:val="24"/>
          <w:szCs w:val="24"/>
        </w:rPr>
        <w:t xml:space="preserve">not to move </w:t>
      </w:r>
      <w:r w:rsidR="009F1503">
        <w:rPr>
          <w:color w:val="000000" w:themeColor="text1"/>
          <w:sz w:val="24"/>
          <w:szCs w:val="24"/>
        </w:rPr>
        <w:t>the book to young adult, instead keep it in the children’s section, making</w:t>
      </w:r>
      <w:r w:rsidR="00225A76" w:rsidRPr="00754733">
        <w:rPr>
          <w:color w:val="000000" w:themeColor="text1"/>
          <w:sz w:val="24"/>
          <w:szCs w:val="24"/>
        </w:rPr>
        <w:t xml:space="preserve"> </w:t>
      </w:r>
      <w:r w:rsidR="00225A76" w:rsidRPr="00754733">
        <w:rPr>
          <w:i/>
          <w:iCs/>
          <w:color w:val="000000" w:themeColor="text1"/>
          <w:sz w:val="24"/>
          <w:szCs w:val="24"/>
        </w:rPr>
        <w:t>The Higher Power of Lucky</w:t>
      </w:r>
      <w:r w:rsidR="00225A76" w:rsidRPr="00754733">
        <w:rPr>
          <w:color w:val="000000" w:themeColor="text1"/>
          <w:sz w:val="24"/>
          <w:szCs w:val="24"/>
        </w:rPr>
        <w:t xml:space="preserve"> available in the Tween section of the children’s area for </w:t>
      </w:r>
      <w:r w:rsidR="00417C5D" w:rsidRPr="00754733">
        <w:rPr>
          <w:color w:val="000000" w:themeColor="text1"/>
          <w:sz w:val="24"/>
          <w:szCs w:val="24"/>
        </w:rPr>
        <w:t xml:space="preserve">grades 4-6, which would hit </w:t>
      </w:r>
      <w:r w:rsidR="00900E61" w:rsidRPr="00754733">
        <w:rPr>
          <w:color w:val="000000" w:themeColor="text1"/>
          <w:sz w:val="24"/>
          <w:szCs w:val="24"/>
        </w:rPr>
        <w:t xml:space="preserve">the reading level window </w:t>
      </w:r>
      <w:r w:rsidR="00F2617B">
        <w:rPr>
          <w:color w:val="000000" w:themeColor="text1"/>
          <w:sz w:val="24"/>
          <w:szCs w:val="24"/>
        </w:rPr>
        <w:t xml:space="preserve">3-6 </w:t>
      </w:r>
      <w:r w:rsidR="00900E61" w:rsidRPr="00754733">
        <w:rPr>
          <w:color w:val="000000" w:themeColor="text1"/>
          <w:sz w:val="24"/>
          <w:szCs w:val="24"/>
        </w:rPr>
        <w:t xml:space="preserve">for the book </w:t>
      </w:r>
      <w:r w:rsidR="00F2617B">
        <w:rPr>
          <w:color w:val="000000" w:themeColor="text1"/>
          <w:sz w:val="24"/>
          <w:szCs w:val="24"/>
        </w:rPr>
        <w:t xml:space="preserve">almost </w:t>
      </w:r>
      <w:r w:rsidR="005C6E33" w:rsidRPr="00754733">
        <w:rPr>
          <w:color w:val="000000" w:themeColor="text1"/>
          <w:sz w:val="24"/>
          <w:szCs w:val="24"/>
        </w:rPr>
        <w:t>perfectly</w:t>
      </w:r>
      <w:r w:rsidR="009948EB">
        <w:rPr>
          <w:color w:val="000000" w:themeColor="text1"/>
          <w:sz w:val="24"/>
          <w:szCs w:val="24"/>
        </w:rPr>
        <w:t>,</w:t>
      </w:r>
      <w:r w:rsidR="005C6E33" w:rsidRPr="00754733">
        <w:rPr>
          <w:color w:val="000000" w:themeColor="text1"/>
          <w:sz w:val="24"/>
          <w:szCs w:val="24"/>
        </w:rPr>
        <w:t xml:space="preserve"> and</w:t>
      </w:r>
      <w:r w:rsidR="00900E61" w:rsidRPr="00754733">
        <w:rPr>
          <w:color w:val="000000" w:themeColor="text1"/>
          <w:sz w:val="24"/>
          <w:szCs w:val="24"/>
        </w:rPr>
        <w:t xml:space="preserve"> make it available to those children who wish to read </w:t>
      </w:r>
      <w:r w:rsidR="00EE31DF" w:rsidRPr="00754733">
        <w:rPr>
          <w:color w:val="000000" w:themeColor="text1"/>
          <w:sz w:val="24"/>
          <w:szCs w:val="24"/>
        </w:rPr>
        <w:t>it</w:t>
      </w:r>
      <w:r w:rsidR="00900E61" w:rsidRPr="00754733">
        <w:rPr>
          <w:color w:val="000000" w:themeColor="text1"/>
          <w:sz w:val="24"/>
          <w:szCs w:val="24"/>
        </w:rPr>
        <w:t xml:space="preserve">. </w:t>
      </w:r>
      <w:r w:rsidR="007C1B56" w:rsidRPr="00754733">
        <w:rPr>
          <w:color w:val="000000" w:themeColor="text1"/>
          <w:sz w:val="24"/>
          <w:szCs w:val="24"/>
        </w:rPr>
        <w:t xml:space="preserve"> </w:t>
      </w:r>
      <w:r w:rsidR="008950D3" w:rsidRPr="00754733">
        <w:rPr>
          <w:color w:val="000000" w:themeColor="text1"/>
          <w:sz w:val="24"/>
          <w:szCs w:val="24"/>
        </w:rPr>
        <w:t xml:space="preserve"> </w:t>
      </w:r>
      <w:r w:rsidR="00FC3DD7" w:rsidRPr="00754733">
        <w:rPr>
          <w:color w:val="000000" w:themeColor="text1"/>
          <w:sz w:val="24"/>
          <w:szCs w:val="24"/>
        </w:rPr>
        <w:t xml:space="preserve"> </w:t>
      </w:r>
    </w:p>
    <w:p w14:paraId="313D4935" w14:textId="172E37BE" w:rsidR="00697D50" w:rsidRPr="00754733" w:rsidRDefault="00697D50">
      <w:pPr>
        <w:rPr>
          <w:sz w:val="24"/>
          <w:szCs w:val="24"/>
        </w:rPr>
      </w:pPr>
      <w:r w:rsidRPr="00754733">
        <w:rPr>
          <w:sz w:val="24"/>
          <w:szCs w:val="24"/>
        </w:rPr>
        <w:br w:type="page"/>
      </w:r>
    </w:p>
    <w:p w14:paraId="631D446B" w14:textId="29A3FBF7" w:rsidR="00697D50" w:rsidRPr="00754733" w:rsidRDefault="00197FDC" w:rsidP="00197FDC">
      <w:pPr>
        <w:jc w:val="center"/>
        <w:rPr>
          <w:b/>
          <w:bCs/>
          <w:sz w:val="24"/>
          <w:szCs w:val="24"/>
        </w:rPr>
      </w:pPr>
      <w:r w:rsidRPr="00754733">
        <w:rPr>
          <w:b/>
          <w:bCs/>
          <w:sz w:val="24"/>
          <w:szCs w:val="24"/>
        </w:rPr>
        <w:lastRenderedPageBreak/>
        <w:t>References</w:t>
      </w:r>
    </w:p>
    <w:p w14:paraId="43425522" w14:textId="3CB97153" w:rsidR="00242A93" w:rsidRPr="00754733" w:rsidRDefault="00242A93" w:rsidP="00FB224F">
      <w:pPr>
        <w:spacing w:after="0" w:line="480" w:lineRule="auto"/>
        <w:ind w:left="720" w:hanging="720"/>
        <w:rPr>
          <w:sz w:val="24"/>
          <w:szCs w:val="24"/>
        </w:rPr>
      </w:pPr>
      <w:r w:rsidRPr="00754733">
        <w:rPr>
          <w:sz w:val="24"/>
          <w:szCs w:val="24"/>
        </w:rPr>
        <w:t xml:space="preserve">ALA. </w:t>
      </w:r>
      <w:r w:rsidR="00531095" w:rsidRPr="00754733">
        <w:rPr>
          <w:sz w:val="24"/>
          <w:szCs w:val="24"/>
        </w:rPr>
        <w:t xml:space="preserve">(2022). </w:t>
      </w:r>
      <w:r w:rsidR="00531095" w:rsidRPr="00754733">
        <w:rPr>
          <w:i/>
          <w:iCs/>
          <w:sz w:val="24"/>
          <w:szCs w:val="24"/>
        </w:rPr>
        <w:t>The higher power of lucky</w:t>
      </w:r>
      <w:r w:rsidR="00531095" w:rsidRPr="00754733">
        <w:rPr>
          <w:sz w:val="24"/>
          <w:szCs w:val="24"/>
        </w:rPr>
        <w:t xml:space="preserve">. </w:t>
      </w:r>
      <w:hyperlink r:id="rId7" w:history="1">
        <w:r w:rsidR="00AE5C00" w:rsidRPr="00754733">
          <w:rPr>
            <w:rStyle w:val="Hyperlink"/>
            <w:sz w:val="24"/>
            <w:szCs w:val="24"/>
          </w:rPr>
          <w:t>https://www.ala.org/awardsgrants/content/higher-power-lucky</w:t>
        </w:r>
      </w:hyperlink>
      <w:r w:rsidR="00AE5C00" w:rsidRPr="00754733">
        <w:rPr>
          <w:sz w:val="24"/>
          <w:szCs w:val="24"/>
        </w:rPr>
        <w:t xml:space="preserve"> </w:t>
      </w:r>
    </w:p>
    <w:p w14:paraId="36A7C257" w14:textId="3486090F" w:rsidR="00911D12" w:rsidRPr="00754733" w:rsidRDefault="00911D12" w:rsidP="00FB224F">
      <w:pPr>
        <w:spacing w:after="0" w:line="480" w:lineRule="auto"/>
        <w:ind w:left="720" w:hanging="720"/>
        <w:rPr>
          <w:sz w:val="24"/>
          <w:szCs w:val="24"/>
        </w:rPr>
      </w:pPr>
      <w:r w:rsidRPr="00754733">
        <w:rPr>
          <w:sz w:val="24"/>
          <w:szCs w:val="24"/>
        </w:rPr>
        <w:t xml:space="preserve">ALA. (2022). </w:t>
      </w:r>
      <w:r w:rsidRPr="00754733">
        <w:rPr>
          <w:i/>
          <w:iCs/>
          <w:sz w:val="24"/>
          <w:szCs w:val="24"/>
        </w:rPr>
        <w:t>Library bill of rights</w:t>
      </w:r>
      <w:r w:rsidRPr="00754733">
        <w:rPr>
          <w:sz w:val="24"/>
          <w:szCs w:val="24"/>
        </w:rPr>
        <w:t xml:space="preserve">. </w:t>
      </w:r>
      <w:hyperlink r:id="rId8" w:history="1">
        <w:r w:rsidR="001B72BD" w:rsidRPr="00754733">
          <w:rPr>
            <w:rStyle w:val="Hyperlink"/>
            <w:sz w:val="24"/>
            <w:szCs w:val="24"/>
          </w:rPr>
          <w:t>https://www.ala.org/advocacy/intfreedom/librarybill/</w:t>
        </w:r>
      </w:hyperlink>
      <w:r w:rsidR="001B72BD" w:rsidRPr="00754733">
        <w:rPr>
          <w:sz w:val="24"/>
          <w:szCs w:val="24"/>
        </w:rPr>
        <w:t xml:space="preserve"> </w:t>
      </w:r>
    </w:p>
    <w:p w14:paraId="261E0E51" w14:textId="5240BC96" w:rsidR="005F3480" w:rsidRPr="00754733" w:rsidRDefault="009533B4" w:rsidP="00FB224F">
      <w:pPr>
        <w:spacing w:after="0" w:line="480" w:lineRule="auto"/>
        <w:ind w:left="720" w:hanging="720"/>
        <w:rPr>
          <w:sz w:val="24"/>
          <w:szCs w:val="24"/>
        </w:rPr>
      </w:pPr>
      <w:proofErr w:type="spellStart"/>
      <w:r w:rsidRPr="00754733">
        <w:rPr>
          <w:sz w:val="24"/>
          <w:szCs w:val="24"/>
        </w:rPr>
        <w:t>Alaggia</w:t>
      </w:r>
      <w:proofErr w:type="spellEnd"/>
      <w:r w:rsidRPr="00754733">
        <w:rPr>
          <w:sz w:val="24"/>
          <w:szCs w:val="24"/>
        </w:rPr>
        <w:t>, R.</w:t>
      </w:r>
      <w:r w:rsidR="00776D89" w:rsidRPr="00754733">
        <w:rPr>
          <w:sz w:val="24"/>
          <w:szCs w:val="24"/>
        </w:rPr>
        <w:t>,</w:t>
      </w:r>
      <w:r w:rsidRPr="00754733">
        <w:rPr>
          <w:sz w:val="24"/>
          <w:szCs w:val="24"/>
        </w:rPr>
        <w:t xml:space="preserve"> Collin-</w:t>
      </w:r>
      <w:proofErr w:type="spellStart"/>
      <w:r w:rsidRPr="00754733">
        <w:rPr>
          <w:sz w:val="24"/>
          <w:szCs w:val="24"/>
        </w:rPr>
        <w:t>V</w:t>
      </w:r>
      <w:r w:rsidR="00776D89" w:rsidRPr="00754733">
        <w:rPr>
          <w:sz w:val="24"/>
          <w:szCs w:val="24"/>
        </w:rPr>
        <w:t>ézina</w:t>
      </w:r>
      <w:proofErr w:type="spellEnd"/>
      <w:r w:rsidR="00776D89" w:rsidRPr="00754733">
        <w:rPr>
          <w:sz w:val="24"/>
          <w:szCs w:val="24"/>
        </w:rPr>
        <w:t xml:space="preserve"> D., and </w:t>
      </w:r>
      <w:r w:rsidR="0015725D" w:rsidRPr="00754733">
        <w:rPr>
          <w:sz w:val="24"/>
          <w:szCs w:val="24"/>
        </w:rPr>
        <w:t>Lateef, R. (2019). Facilitators and barriers to child sexual abuse (CSA) disclosures: A research update (2000</w:t>
      </w:r>
      <w:r w:rsidR="00696953" w:rsidRPr="00754733">
        <w:rPr>
          <w:sz w:val="24"/>
          <w:szCs w:val="24"/>
        </w:rPr>
        <w:t xml:space="preserve">-2016). </w:t>
      </w:r>
      <w:r w:rsidR="00AB185B" w:rsidRPr="00754733">
        <w:rPr>
          <w:i/>
          <w:iCs/>
          <w:sz w:val="24"/>
          <w:szCs w:val="24"/>
        </w:rPr>
        <w:t>Trauma, Violence, &amp; Abuse</w:t>
      </w:r>
      <w:r w:rsidR="00A618C6" w:rsidRPr="00754733">
        <w:rPr>
          <w:sz w:val="24"/>
          <w:szCs w:val="24"/>
        </w:rPr>
        <w:t>,</w:t>
      </w:r>
      <w:r w:rsidR="00AB185B" w:rsidRPr="00754733">
        <w:rPr>
          <w:sz w:val="24"/>
          <w:szCs w:val="24"/>
        </w:rPr>
        <w:t xml:space="preserve"> </w:t>
      </w:r>
      <w:r w:rsidR="00D004AB" w:rsidRPr="00754733">
        <w:rPr>
          <w:i/>
          <w:iCs/>
          <w:sz w:val="24"/>
          <w:szCs w:val="24"/>
        </w:rPr>
        <w:t>20</w:t>
      </w:r>
      <w:r w:rsidR="00D004AB" w:rsidRPr="00754733">
        <w:rPr>
          <w:sz w:val="24"/>
          <w:szCs w:val="24"/>
        </w:rPr>
        <w:t>(2)</w:t>
      </w:r>
      <w:r w:rsidR="00054E0B" w:rsidRPr="00754733">
        <w:rPr>
          <w:sz w:val="24"/>
          <w:szCs w:val="24"/>
        </w:rPr>
        <w:t>,</w:t>
      </w:r>
      <w:r w:rsidR="00D004AB" w:rsidRPr="00754733">
        <w:rPr>
          <w:sz w:val="24"/>
          <w:szCs w:val="24"/>
        </w:rPr>
        <w:t xml:space="preserve"> 260</w:t>
      </w:r>
      <w:r w:rsidR="00E351A7" w:rsidRPr="00754733">
        <w:rPr>
          <w:sz w:val="24"/>
          <w:szCs w:val="24"/>
        </w:rPr>
        <w:t>–</w:t>
      </w:r>
      <w:r w:rsidR="00D004AB" w:rsidRPr="00754733">
        <w:rPr>
          <w:sz w:val="24"/>
          <w:szCs w:val="24"/>
        </w:rPr>
        <w:t xml:space="preserve">283. </w:t>
      </w:r>
      <w:hyperlink r:id="rId9" w:history="1">
        <w:r w:rsidR="0037475C" w:rsidRPr="00754733">
          <w:rPr>
            <w:rStyle w:val="Hyperlink"/>
            <w:sz w:val="24"/>
            <w:szCs w:val="24"/>
          </w:rPr>
          <w:t>https://doi.org/10.1177/1524838017697312</w:t>
        </w:r>
      </w:hyperlink>
      <w:r w:rsidR="0037475C" w:rsidRPr="00754733">
        <w:rPr>
          <w:sz w:val="24"/>
          <w:szCs w:val="24"/>
        </w:rPr>
        <w:t xml:space="preserve"> </w:t>
      </w:r>
      <w:r w:rsidR="00776D89" w:rsidRPr="00754733">
        <w:rPr>
          <w:sz w:val="24"/>
          <w:szCs w:val="24"/>
        </w:rPr>
        <w:t xml:space="preserve"> </w:t>
      </w:r>
    </w:p>
    <w:p w14:paraId="382950F2" w14:textId="1C208CA8" w:rsidR="002D0650" w:rsidRPr="00754733" w:rsidRDefault="00793EA4" w:rsidP="00FB224F">
      <w:pPr>
        <w:spacing w:after="0" w:line="480" w:lineRule="auto"/>
        <w:ind w:left="720" w:hanging="720"/>
        <w:rPr>
          <w:sz w:val="24"/>
          <w:szCs w:val="24"/>
        </w:rPr>
      </w:pPr>
      <w:proofErr w:type="spellStart"/>
      <w:r w:rsidRPr="00754733">
        <w:rPr>
          <w:sz w:val="24"/>
          <w:szCs w:val="24"/>
        </w:rPr>
        <w:t>Buni</w:t>
      </w:r>
      <w:proofErr w:type="spellEnd"/>
      <w:r w:rsidRPr="00754733">
        <w:rPr>
          <w:sz w:val="24"/>
          <w:szCs w:val="24"/>
        </w:rPr>
        <w:t>, C. (2013. April</w:t>
      </w:r>
      <w:r w:rsidR="00EF5937" w:rsidRPr="00754733">
        <w:rPr>
          <w:sz w:val="24"/>
          <w:szCs w:val="24"/>
        </w:rPr>
        <w:t xml:space="preserve"> 15). The case for teaching kids </w:t>
      </w:r>
      <w:r w:rsidR="003E1F8E" w:rsidRPr="00754733">
        <w:rPr>
          <w:sz w:val="24"/>
          <w:szCs w:val="24"/>
        </w:rPr>
        <w:t>‘</w:t>
      </w:r>
      <w:r w:rsidR="00EF5937" w:rsidRPr="00754733">
        <w:rPr>
          <w:sz w:val="24"/>
          <w:szCs w:val="24"/>
        </w:rPr>
        <w:t>vagina,’ ‘penis,’ and ‘vulva</w:t>
      </w:r>
      <w:r w:rsidR="00755725" w:rsidRPr="00754733">
        <w:rPr>
          <w:sz w:val="24"/>
          <w:szCs w:val="24"/>
        </w:rPr>
        <w:t xml:space="preserve">.’ </w:t>
      </w:r>
      <w:r w:rsidR="00755725" w:rsidRPr="00754733">
        <w:rPr>
          <w:i/>
          <w:iCs/>
          <w:sz w:val="24"/>
          <w:szCs w:val="24"/>
        </w:rPr>
        <w:t>The Atlantic</w:t>
      </w:r>
      <w:r w:rsidR="00470F55" w:rsidRPr="00754733">
        <w:rPr>
          <w:sz w:val="24"/>
          <w:szCs w:val="24"/>
        </w:rPr>
        <w:t>,</w:t>
      </w:r>
      <w:r w:rsidR="00755725" w:rsidRPr="00754733">
        <w:rPr>
          <w:sz w:val="24"/>
          <w:szCs w:val="24"/>
        </w:rPr>
        <w:t xml:space="preserve"> </w:t>
      </w:r>
      <w:hyperlink r:id="rId10" w:history="1">
        <w:r w:rsidR="00B26633" w:rsidRPr="00754733">
          <w:rPr>
            <w:rStyle w:val="Hyperlink"/>
            <w:sz w:val="24"/>
            <w:szCs w:val="24"/>
          </w:rPr>
          <w:t>https://www.theatlantic.com/health/archive/2013/04/the-case-for-teaching-kids-vagina-penis-and-vulva/274969/</w:t>
        </w:r>
      </w:hyperlink>
      <w:r w:rsidR="00B26633" w:rsidRPr="00754733">
        <w:rPr>
          <w:sz w:val="24"/>
          <w:szCs w:val="24"/>
        </w:rPr>
        <w:t xml:space="preserve"> </w:t>
      </w:r>
    </w:p>
    <w:p w14:paraId="2CB11650" w14:textId="31DBA3A6" w:rsidR="00EF5DA7" w:rsidRPr="00754733" w:rsidRDefault="00EF5DA7" w:rsidP="00FB224F">
      <w:pPr>
        <w:spacing w:after="0" w:line="480" w:lineRule="auto"/>
        <w:ind w:left="720" w:hanging="720"/>
        <w:rPr>
          <w:sz w:val="24"/>
          <w:szCs w:val="24"/>
        </w:rPr>
      </w:pPr>
      <w:r w:rsidRPr="00754733">
        <w:rPr>
          <w:sz w:val="24"/>
          <w:szCs w:val="24"/>
        </w:rPr>
        <w:t>Children’s Bureau</w:t>
      </w:r>
      <w:r w:rsidR="006079AF" w:rsidRPr="00754733">
        <w:rPr>
          <w:sz w:val="24"/>
          <w:szCs w:val="24"/>
        </w:rPr>
        <w:t>.</w:t>
      </w:r>
      <w:r w:rsidRPr="00754733">
        <w:rPr>
          <w:sz w:val="24"/>
          <w:szCs w:val="24"/>
        </w:rPr>
        <w:t xml:space="preserve"> (</w:t>
      </w:r>
      <w:r w:rsidR="006079AF" w:rsidRPr="00754733">
        <w:rPr>
          <w:sz w:val="24"/>
          <w:szCs w:val="24"/>
        </w:rPr>
        <w:t xml:space="preserve">2022). </w:t>
      </w:r>
      <w:r w:rsidR="006079AF" w:rsidRPr="00754733">
        <w:rPr>
          <w:i/>
          <w:iCs/>
          <w:sz w:val="24"/>
          <w:szCs w:val="24"/>
        </w:rPr>
        <w:t>Child maltreatment report 2020.</w:t>
      </w:r>
      <w:r w:rsidR="003A22DC" w:rsidRPr="00754733">
        <w:rPr>
          <w:i/>
          <w:iCs/>
          <w:sz w:val="24"/>
          <w:szCs w:val="24"/>
        </w:rPr>
        <w:t xml:space="preserve"> </w:t>
      </w:r>
      <w:hyperlink r:id="rId11" w:history="1">
        <w:r w:rsidR="003A22DC" w:rsidRPr="00754733">
          <w:rPr>
            <w:rStyle w:val="Hyperlink"/>
            <w:i/>
            <w:iCs/>
            <w:sz w:val="24"/>
            <w:szCs w:val="24"/>
          </w:rPr>
          <w:t>https://www.acf.hhs.gov/cb/report/child-maltreatment-2020</w:t>
        </w:r>
      </w:hyperlink>
      <w:r w:rsidR="003A22DC" w:rsidRPr="00754733">
        <w:rPr>
          <w:i/>
          <w:iCs/>
          <w:sz w:val="24"/>
          <w:szCs w:val="24"/>
        </w:rPr>
        <w:t xml:space="preserve"> </w:t>
      </w:r>
    </w:p>
    <w:p w14:paraId="0B45088F" w14:textId="53656A9C" w:rsidR="00D206B4" w:rsidRPr="00754733" w:rsidRDefault="00D206B4" w:rsidP="00FB224F">
      <w:pPr>
        <w:spacing w:after="0" w:line="480" w:lineRule="auto"/>
        <w:ind w:left="720" w:hanging="720"/>
        <w:rPr>
          <w:sz w:val="24"/>
          <w:szCs w:val="24"/>
        </w:rPr>
      </w:pPr>
      <w:r w:rsidRPr="00754733">
        <w:rPr>
          <w:sz w:val="24"/>
          <w:szCs w:val="24"/>
        </w:rPr>
        <w:t>Children’s B</w:t>
      </w:r>
      <w:r w:rsidR="000854FD" w:rsidRPr="00754733">
        <w:rPr>
          <w:sz w:val="24"/>
          <w:szCs w:val="24"/>
        </w:rPr>
        <w:t>u</w:t>
      </w:r>
      <w:r w:rsidRPr="00754733">
        <w:rPr>
          <w:sz w:val="24"/>
          <w:szCs w:val="24"/>
        </w:rPr>
        <w:t>r</w:t>
      </w:r>
      <w:r w:rsidR="000854FD" w:rsidRPr="00754733">
        <w:rPr>
          <w:sz w:val="24"/>
          <w:szCs w:val="24"/>
        </w:rPr>
        <w:t>e</w:t>
      </w:r>
      <w:r w:rsidRPr="00754733">
        <w:rPr>
          <w:sz w:val="24"/>
          <w:szCs w:val="24"/>
        </w:rPr>
        <w:t>au</w:t>
      </w:r>
      <w:r w:rsidR="000854FD" w:rsidRPr="00754733">
        <w:rPr>
          <w:sz w:val="24"/>
          <w:szCs w:val="24"/>
        </w:rPr>
        <w:t xml:space="preserve"> Express</w:t>
      </w:r>
      <w:r w:rsidR="00314DA3" w:rsidRPr="00754733">
        <w:rPr>
          <w:sz w:val="24"/>
          <w:szCs w:val="24"/>
        </w:rPr>
        <w:t xml:space="preserve"> Resources</w:t>
      </w:r>
      <w:r w:rsidR="000854FD" w:rsidRPr="00754733">
        <w:rPr>
          <w:sz w:val="24"/>
          <w:szCs w:val="24"/>
        </w:rPr>
        <w:t xml:space="preserve">. (2021, February). </w:t>
      </w:r>
      <w:r w:rsidR="00061570" w:rsidRPr="00754733">
        <w:rPr>
          <w:i/>
          <w:iCs/>
          <w:sz w:val="24"/>
          <w:szCs w:val="24"/>
        </w:rPr>
        <w:t>Guide</w:t>
      </w:r>
      <w:r w:rsidR="00D2343B" w:rsidRPr="00754733">
        <w:rPr>
          <w:i/>
          <w:iCs/>
          <w:sz w:val="24"/>
          <w:szCs w:val="24"/>
        </w:rPr>
        <w:t xml:space="preserve"> </w:t>
      </w:r>
      <w:r w:rsidR="006B621A" w:rsidRPr="00754733">
        <w:rPr>
          <w:i/>
          <w:iCs/>
          <w:sz w:val="24"/>
          <w:szCs w:val="24"/>
        </w:rPr>
        <w:t>for parents on preventing child sex abuse</w:t>
      </w:r>
      <w:r w:rsidR="000650EE" w:rsidRPr="00754733">
        <w:rPr>
          <w:sz w:val="24"/>
          <w:szCs w:val="24"/>
        </w:rPr>
        <w:t>.</w:t>
      </w:r>
      <w:r w:rsidR="00105A59" w:rsidRPr="00754733">
        <w:rPr>
          <w:sz w:val="24"/>
          <w:szCs w:val="24"/>
        </w:rPr>
        <w:t xml:space="preserve"> </w:t>
      </w:r>
      <w:r w:rsidR="00E14C05" w:rsidRPr="00754733">
        <w:rPr>
          <w:i/>
          <w:iCs/>
          <w:sz w:val="24"/>
          <w:szCs w:val="24"/>
        </w:rPr>
        <w:t>22</w:t>
      </w:r>
      <w:r w:rsidR="00E14C05" w:rsidRPr="00754733">
        <w:rPr>
          <w:sz w:val="24"/>
          <w:szCs w:val="24"/>
        </w:rPr>
        <w:t>(2)</w:t>
      </w:r>
      <w:r w:rsidR="009629B1" w:rsidRPr="00754733">
        <w:rPr>
          <w:sz w:val="24"/>
          <w:szCs w:val="24"/>
        </w:rPr>
        <w:t>,</w:t>
      </w:r>
      <w:r w:rsidR="00E14C05" w:rsidRPr="00754733">
        <w:rPr>
          <w:sz w:val="24"/>
          <w:szCs w:val="24"/>
        </w:rPr>
        <w:t xml:space="preserve"> </w:t>
      </w:r>
      <w:hyperlink r:id="rId12" w:history="1">
        <w:r w:rsidR="002D3C2A" w:rsidRPr="00754733">
          <w:rPr>
            <w:rStyle w:val="Hyperlink"/>
            <w:sz w:val="24"/>
            <w:szCs w:val="24"/>
          </w:rPr>
          <w:t>https://cbexpress.acf.hhs.gov/index.cfm?event=website.viewArticles&amp;issueid=223&amp;articleid=5744</w:t>
        </w:r>
      </w:hyperlink>
      <w:r w:rsidR="002D3C2A" w:rsidRPr="00754733">
        <w:rPr>
          <w:sz w:val="24"/>
          <w:szCs w:val="24"/>
        </w:rPr>
        <w:t xml:space="preserve"> </w:t>
      </w:r>
    </w:p>
    <w:p w14:paraId="70182F4F" w14:textId="004392E8" w:rsidR="009F6337" w:rsidRPr="00754733" w:rsidRDefault="009F6337" w:rsidP="00FB224F">
      <w:pPr>
        <w:spacing w:after="0" w:line="480" w:lineRule="auto"/>
        <w:ind w:left="720" w:hanging="720"/>
        <w:rPr>
          <w:sz w:val="24"/>
          <w:szCs w:val="24"/>
        </w:rPr>
      </w:pPr>
      <w:r w:rsidRPr="00754733">
        <w:rPr>
          <w:sz w:val="24"/>
          <w:szCs w:val="24"/>
        </w:rPr>
        <w:t xml:space="preserve">Ferguson, C. J. </w:t>
      </w:r>
      <w:r w:rsidR="00046A66" w:rsidRPr="00754733">
        <w:rPr>
          <w:sz w:val="24"/>
          <w:szCs w:val="24"/>
        </w:rPr>
        <w:t xml:space="preserve">(2014). Is reading </w:t>
      </w:r>
      <w:r w:rsidR="00DF6CE4" w:rsidRPr="00754733">
        <w:rPr>
          <w:sz w:val="24"/>
          <w:szCs w:val="24"/>
        </w:rPr>
        <w:t>“</w:t>
      </w:r>
      <w:r w:rsidR="00046A66" w:rsidRPr="00754733">
        <w:rPr>
          <w:sz w:val="24"/>
          <w:szCs w:val="24"/>
        </w:rPr>
        <w:t>banned</w:t>
      </w:r>
      <w:r w:rsidR="00DF6CE4" w:rsidRPr="00754733">
        <w:rPr>
          <w:sz w:val="24"/>
          <w:szCs w:val="24"/>
        </w:rPr>
        <w:t>”</w:t>
      </w:r>
      <w:r w:rsidR="00046A66" w:rsidRPr="00754733">
        <w:rPr>
          <w:sz w:val="24"/>
          <w:szCs w:val="24"/>
        </w:rPr>
        <w:t xml:space="preserve"> books associated with behavior problems in young readers? The influence of controversial young adult books on the psychological well-being of adolescents</w:t>
      </w:r>
      <w:r w:rsidR="006E4B1D" w:rsidRPr="00754733">
        <w:rPr>
          <w:sz w:val="24"/>
          <w:szCs w:val="24"/>
        </w:rPr>
        <w:t xml:space="preserve">. </w:t>
      </w:r>
      <w:r w:rsidR="0027244B" w:rsidRPr="00754733">
        <w:rPr>
          <w:i/>
          <w:iCs/>
          <w:sz w:val="24"/>
          <w:szCs w:val="24"/>
        </w:rPr>
        <w:t>Psychology</w:t>
      </w:r>
      <w:r w:rsidR="006E4B1D" w:rsidRPr="00754733">
        <w:rPr>
          <w:i/>
          <w:iCs/>
          <w:sz w:val="24"/>
          <w:szCs w:val="24"/>
        </w:rPr>
        <w:t xml:space="preserve"> of Aesthetics, Creativity, and the Arts</w:t>
      </w:r>
      <w:r w:rsidR="00827AC3" w:rsidRPr="00754733">
        <w:rPr>
          <w:sz w:val="24"/>
          <w:szCs w:val="24"/>
        </w:rPr>
        <w:t>,</w:t>
      </w:r>
      <w:r w:rsidR="000476F3" w:rsidRPr="00754733">
        <w:rPr>
          <w:sz w:val="24"/>
          <w:szCs w:val="24"/>
        </w:rPr>
        <w:t xml:space="preserve"> </w:t>
      </w:r>
      <w:r w:rsidR="000476F3" w:rsidRPr="00754733">
        <w:rPr>
          <w:i/>
          <w:iCs/>
          <w:sz w:val="24"/>
          <w:szCs w:val="24"/>
        </w:rPr>
        <w:t>8</w:t>
      </w:r>
      <w:r w:rsidR="000476F3" w:rsidRPr="00754733">
        <w:rPr>
          <w:sz w:val="24"/>
          <w:szCs w:val="24"/>
        </w:rPr>
        <w:t>(3)</w:t>
      </w:r>
      <w:r w:rsidR="00BA26E4" w:rsidRPr="00754733">
        <w:rPr>
          <w:sz w:val="24"/>
          <w:szCs w:val="24"/>
        </w:rPr>
        <w:t>,</w:t>
      </w:r>
      <w:r w:rsidR="000476F3" w:rsidRPr="00754733">
        <w:rPr>
          <w:sz w:val="24"/>
          <w:szCs w:val="24"/>
        </w:rPr>
        <w:t xml:space="preserve"> 354-362.</w:t>
      </w:r>
      <w:r w:rsidR="00EB43F4" w:rsidRPr="00754733">
        <w:rPr>
          <w:sz w:val="24"/>
          <w:szCs w:val="24"/>
        </w:rPr>
        <w:t xml:space="preserve"> </w:t>
      </w:r>
      <w:hyperlink r:id="rId13" w:history="1">
        <w:r w:rsidR="00EB43F4" w:rsidRPr="00754733">
          <w:rPr>
            <w:rStyle w:val="Hyperlink"/>
            <w:sz w:val="24"/>
            <w:szCs w:val="24"/>
          </w:rPr>
          <w:t>http://doi.org/10.1037/a0035601</w:t>
        </w:r>
      </w:hyperlink>
      <w:r w:rsidR="00EB43F4" w:rsidRPr="00754733">
        <w:rPr>
          <w:sz w:val="24"/>
          <w:szCs w:val="24"/>
        </w:rPr>
        <w:t xml:space="preserve"> </w:t>
      </w:r>
    </w:p>
    <w:p w14:paraId="7496EF4C" w14:textId="77777777" w:rsidR="009C50C4" w:rsidRDefault="006C5707" w:rsidP="00FB224F">
      <w:pPr>
        <w:spacing w:after="0" w:line="480" w:lineRule="auto"/>
        <w:ind w:left="720" w:hanging="720"/>
        <w:rPr>
          <w:rStyle w:val="Hyperlink"/>
          <w:sz w:val="24"/>
          <w:szCs w:val="24"/>
        </w:rPr>
      </w:pPr>
      <w:proofErr w:type="spellStart"/>
      <w:r w:rsidRPr="00754733">
        <w:rPr>
          <w:sz w:val="24"/>
          <w:szCs w:val="24"/>
        </w:rPr>
        <w:t>Finkelhor</w:t>
      </w:r>
      <w:proofErr w:type="spellEnd"/>
      <w:r w:rsidRPr="00754733">
        <w:rPr>
          <w:sz w:val="24"/>
          <w:szCs w:val="24"/>
        </w:rPr>
        <w:t xml:space="preserve">, D. </w:t>
      </w:r>
      <w:r w:rsidR="00336810" w:rsidRPr="00754733">
        <w:rPr>
          <w:sz w:val="24"/>
          <w:szCs w:val="24"/>
        </w:rPr>
        <w:t xml:space="preserve">(2009 Fall). The prevention of childhood sexual abuse. </w:t>
      </w:r>
      <w:r w:rsidR="001D1B3B" w:rsidRPr="00754733">
        <w:rPr>
          <w:i/>
          <w:iCs/>
          <w:sz w:val="24"/>
          <w:szCs w:val="24"/>
        </w:rPr>
        <w:t>The Future of Children</w:t>
      </w:r>
      <w:r w:rsidR="0072580C" w:rsidRPr="00754733">
        <w:rPr>
          <w:sz w:val="24"/>
          <w:szCs w:val="24"/>
        </w:rPr>
        <w:t>,</w:t>
      </w:r>
      <w:r w:rsidR="001D1B3B" w:rsidRPr="00754733">
        <w:rPr>
          <w:sz w:val="24"/>
          <w:szCs w:val="24"/>
        </w:rPr>
        <w:t xml:space="preserve"> </w:t>
      </w:r>
      <w:r w:rsidR="001D1B3B" w:rsidRPr="00754733">
        <w:rPr>
          <w:i/>
          <w:iCs/>
          <w:sz w:val="24"/>
          <w:szCs w:val="24"/>
        </w:rPr>
        <w:t>19</w:t>
      </w:r>
      <w:r w:rsidR="00F20C36" w:rsidRPr="00754733">
        <w:rPr>
          <w:sz w:val="24"/>
          <w:szCs w:val="24"/>
        </w:rPr>
        <w:t>(2)</w:t>
      </w:r>
      <w:r w:rsidR="0072580C" w:rsidRPr="00754733">
        <w:rPr>
          <w:sz w:val="24"/>
          <w:szCs w:val="24"/>
        </w:rPr>
        <w:t>,</w:t>
      </w:r>
      <w:r w:rsidR="00F20C36" w:rsidRPr="00754733">
        <w:rPr>
          <w:sz w:val="24"/>
          <w:szCs w:val="24"/>
        </w:rPr>
        <w:t xml:space="preserve"> 169-194. </w:t>
      </w:r>
      <w:hyperlink r:id="rId14" w:history="1">
        <w:r w:rsidR="00D92C3B" w:rsidRPr="00754733">
          <w:rPr>
            <w:rStyle w:val="Hyperlink"/>
            <w:sz w:val="24"/>
            <w:szCs w:val="24"/>
          </w:rPr>
          <w:t>https://www-jstor-org.proxy.lib.odu.edu/stable/pdf/27795052.pdf?refreqid=excelsior%3A5b89943b920185421cc29aa2f752cec9&amp;ab_segments=&amp;origin=</w:t>
        </w:r>
      </w:hyperlink>
    </w:p>
    <w:p w14:paraId="3217E5FE" w14:textId="5E56CF1D" w:rsidR="00332AD7" w:rsidRPr="009C50C4" w:rsidRDefault="009C50C4" w:rsidP="009C50C4">
      <w:pPr>
        <w:spacing w:after="0" w:line="480" w:lineRule="auto"/>
        <w:ind w:left="720" w:hanging="720"/>
        <w:rPr>
          <w:sz w:val="24"/>
          <w:szCs w:val="24"/>
          <w:shd w:val="clear" w:color="auto" w:fill="FFFFFF"/>
        </w:rPr>
      </w:pPr>
      <w:r w:rsidRPr="00754733">
        <w:rPr>
          <w:sz w:val="24"/>
          <w:szCs w:val="24"/>
          <w:shd w:val="clear" w:color="auto" w:fill="FFFFFF"/>
        </w:rPr>
        <w:lastRenderedPageBreak/>
        <w:t>Hartsfield, D. E.</w:t>
      </w:r>
      <w:r w:rsidR="000039A5">
        <w:rPr>
          <w:sz w:val="24"/>
          <w:szCs w:val="24"/>
          <w:shd w:val="clear" w:color="auto" w:fill="FFFFFF"/>
        </w:rPr>
        <w:t xml:space="preserve"> &amp; Kimmel, S. C.</w:t>
      </w:r>
      <w:r w:rsidRPr="00754733">
        <w:rPr>
          <w:sz w:val="24"/>
          <w:szCs w:val="24"/>
          <w:shd w:val="clear" w:color="auto" w:fill="FFFFFF"/>
        </w:rPr>
        <w:t xml:space="preserve"> (2019). “It was…the word ‘scrotum’ on the first page”: Educators’ perspectives of controversial literature. </w:t>
      </w:r>
      <w:r w:rsidRPr="00754733">
        <w:rPr>
          <w:i/>
          <w:iCs/>
          <w:sz w:val="24"/>
          <w:szCs w:val="24"/>
          <w:shd w:val="clear" w:color="auto" w:fill="FFFFFF"/>
        </w:rPr>
        <w:t>Journal of Teacher Education</w:t>
      </w:r>
      <w:r w:rsidRPr="00754733">
        <w:rPr>
          <w:sz w:val="24"/>
          <w:szCs w:val="24"/>
          <w:shd w:val="clear" w:color="auto" w:fill="FFFFFF"/>
        </w:rPr>
        <w:t>,</w:t>
      </w:r>
      <w:r w:rsidRPr="00754733">
        <w:rPr>
          <w:i/>
          <w:iCs/>
          <w:sz w:val="24"/>
          <w:szCs w:val="24"/>
          <w:shd w:val="clear" w:color="auto" w:fill="FFFFFF"/>
        </w:rPr>
        <w:t xml:space="preserve"> 70</w:t>
      </w:r>
      <w:r w:rsidRPr="00754733">
        <w:rPr>
          <w:sz w:val="24"/>
          <w:szCs w:val="24"/>
          <w:shd w:val="clear" w:color="auto" w:fill="FFFFFF"/>
        </w:rPr>
        <w:t xml:space="preserve">(1), 335-346. </w:t>
      </w:r>
      <w:hyperlink r:id="rId15" w:history="1">
        <w:r w:rsidRPr="00754733">
          <w:rPr>
            <w:rStyle w:val="Hyperlink"/>
            <w:sz w:val="24"/>
            <w:szCs w:val="24"/>
            <w:shd w:val="clear" w:color="auto" w:fill="FFFFFF"/>
          </w:rPr>
          <w:t>https://doi.org</w:t>
        </w:r>
        <w:r w:rsidRPr="00754733">
          <w:rPr>
            <w:rStyle w:val="Hyperlink"/>
            <w:sz w:val="24"/>
            <w:szCs w:val="24"/>
          </w:rPr>
          <w:t>/10.1177/0022487117751126</w:t>
        </w:r>
      </w:hyperlink>
      <w:r w:rsidRPr="00754733">
        <w:rPr>
          <w:sz w:val="24"/>
          <w:szCs w:val="24"/>
        </w:rPr>
        <w:t xml:space="preserve">   </w:t>
      </w:r>
      <w:r w:rsidRPr="00754733">
        <w:rPr>
          <w:sz w:val="24"/>
          <w:szCs w:val="24"/>
          <w:shd w:val="clear" w:color="auto" w:fill="FFFFFF"/>
        </w:rPr>
        <w:t xml:space="preserve"> </w:t>
      </w:r>
      <w:r w:rsidR="00D92C3B" w:rsidRPr="00754733">
        <w:rPr>
          <w:sz w:val="24"/>
          <w:szCs w:val="24"/>
        </w:rPr>
        <w:t xml:space="preserve"> </w:t>
      </w:r>
    </w:p>
    <w:p w14:paraId="32FAB1BF" w14:textId="0EF603F6" w:rsidR="005573F9" w:rsidRDefault="00741D80" w:rsidP="00FB224F">
      <w:pPr>
        <w:spacing w:after="0" w:line="480" w:lineRule="auto"/>
        <w:ind w:left="720" w:hanging="720"/>
        <w:rPr>
          <w:color w:val="595959"/>
          <w:sz w:val="24"/>
          <w:szCs w:val="24"/>
        </w:rPr>
      </w:pPr>
      <w:r w:rsidRPr="00754733">
        <w:rPr>
          <w:sz w:val="24"/>
          <w:szCs w:val="24"/>
        </w:rPr>
        <w:t>Har</w:t>
      </w:r>
      <w:r w:rsidR="00EC16B3" w:rsidRPr="00754733">
        <w:rPr>
          <w:sz w:val="24"/>
          <w:szCs w:val="24"/>
        </w:rPr>
        <w:t>t</w:t>
      </w:r>
      <w:r w:rsidRPr="00754733">
        <w:rPr>
          <w:sz w:val="24"/>
          <w:szCs w:val="24"/>
        </w:rPr>
        <w:t xml:space="preserve">sfield, D. E. &amp; Kimmel, S. C. (2020, July). </w:t>
      </w:r>
      <w:r w:rsidR="00797818" w:rsidRPr="00754733">
        <w:rPr>
          <w:sz w:val="24"/>
          <w:szCs w:val="24"/>
        </w:rPr>
        <w:t>“Please let this be the crassest thing my child reads!”: Exploring community perceptions of challenged children’s literature</w:t>
      </w:r>
      <w:r w:rsidR="004803DA" w:rsidRPr="00754733">
        <w:rPr>
          <w:sz w:val="24"/>
          <w:szCs w:val="24"/>
        </w:rPr>
        <w:t xml:space="preserve">. </w:t>
      </w:r>
      <w:r w:rsidR="004803DA" w:rsidRPr="00754733">
        <w:rPr>
          <w:i/>
          <w:iCs/>
          <w:sz w:val="24"/>
          <w:szCs w:val="24"/>
        </w:rPr>
        <w:t>Reading Psychology</w:t>
      </w:r>
      <w:r w:rsidR="005919A5" w:rsidRPr="00754733">
        <w:rPr>
          <w:sz w:val="24"/>
          <w:szCs w:val="24"/>
        </w:rPr>
        <w:t>,</w:t>
      </w:r>
      <w:r w:rsidR="004803DA" w:rsidRPr="00754733">
        <w:rPr>
          <w:sz w:val="24"/>
          <w:szCs w:val="24"/>
        </w:rPr>
        <w:t xml:space="preserve"> </w:t>
      </w:r>
      <w:r w:rsidR="004803DA" w:rsidRPr="00754733">
        <w:rPr>
          <w:i/>
          <w:iCs/>
          <w:sz w:val="24"/>
          <w:szCs w:val="24"/>
        </w:rPr>
        <w:t>41</w:t>
      </w:r>
      <w:r w:rsidR="004803DA" w:rsidRPr="00754733">
        <w:rPr>
          <w:sz w:val="24"/>
          <w:szCs w:val="24"/>
        </w:rPr>
        <w:t>(5)</w:t>
      </w:r>
      <w:r w:rsidR="005919A5" w:rsidRPr="00754733">
        <w:rPr>
          <w:sz w:val="24"/>
          <w:szCs w:val="24"/>
        </w:rPr>
        <w:t>,</w:t>
      </w:r>
      <w:r w:rsidR="004803DA" w:rsidRPr="00754733">
        <w:rPr>
          <w:sz w:val="24"/>
          <w:szCs w:val="24"/>
        </w:rPr>
        <w:t xml:space="preserve"> </w:t>
      </w:r>
      <w:r w:rsidR="00CF0A98" w:rsidRPr="00754733">
        <w:rPr>
          <w:sz w:val="24"/>
          <w:szCs w:val="24"/>
        </w:rPr>
        <w:t xml:space="preserve">369-402. </w:t>
      </w:r>
      <w:hyperlink r:id="rId16" w:history="1">
        <w:r w:rsidR="006722FD" w:rsidRPr="00754733">
          <w:rPr>
            <w:rStyle w:val="Hyperlink"/>
            <w:sz w:val="24"/>
            <w:szCs w:val="24"/>
          </w:rPr>
          <w:t>https://doi.org/10.1080/02702711.2020.1768983</w:t>
        </w:r>
      </w:hyperlink>
      <w:r w:rsidR="006722FD" w:rsidRPr="00754733">
        <w:rPr>
          <w:color w:val="595959"/>
          <w:sz w:val="24"/>
          <w:szCs w:val="24"/>
        </w:rPr>
        <w:t xml:space="preserve"> </w:t>
      </w:r>
    </w:p>
    <w:p w14:paraId="5DAB842E" w14:textId="16280A4A" w:rsidR="00982A64" w:rsidRPr="00982A64" w:rsidRDefault="00982A64" w:rsidP="00FB224F">
      <w:pPr>
        <w:spacing w:after="0" w:line="480" w:lineRule="auto"/>
        <w:ind w:left="720" w:hanging="720"/>
        <w:rPr>
          <w:i/>
          <w:iCs/>
          <w:color w:val="auto"/>
          <w:sz w:val="24"/>
          <w:szCs w:val="24"/>
        </w:rPr>
      </w:pPr>
      <w:r>
        <w:rPr>
          <w:color w:val="auto"/>
          <w:sz w:val="24"/>
          <w:szCs w:val="24"/>
        </w:rPr>
        <w:t>Henrico County Public Library. (20</w:t>
      </w:r>
      <w:r w:rsidR="00281A9D">
        <w:rPr>
          <w:color w:val="auto"/>
          <w:sz w:val="24"/>
          <w:szCs w:val="24"/>
        </w:rPr>
        <w:t>20, September 3</w:t>
      </w:r>
      <w:r>
        <w:rPr>
          <w:color w:val="auto"/>
          <w:sz w:val="24"/>
          <w:szCs w:val="24"/>
        </w:rPr>
        <w:t xml:space="preserve">). </w:t>
      </w:r>
      <w:r>
        <w:rPr>
          <w:i/>
          <w:iCs/>
          <w:color w:val="auto"/>
          <w:sz w:val="24"/>
          <w:szCs w:val="24"/>
        </w:rPr>
        <w:t>Collection Management P</w:t>
      </w:r>
      <w:r w:rsidR="00281A9D">
        <w:rPr>
          <w:i/>
          <w:iCs/>
          <w:color w:val="auto"/>
          <w:sz w:val="24"/>
          <w:szCs w:val="24"/>
        </w:rPr>
        <w:t xml:space="preserve">olicy. </w:t>
      </w:r>
      <w:hyperlink r:id="rId17" w:history="1">
        <w:r w:rsidR="00281A9D" w:rsidRPr="00822176">
          <w:rPr>
            <w:rStyle w:val="Hyperlink"/>
            <w:i/>
            <w:iCs/>
            <w:sz w:val="24"/>
            <w:szCs w:val="24"/>
          </w:rPr>
          <w:t>https://henricolibrary.org/images/pdfs/CM_Policy_920_final.pdf</w:t>
        </w:r>
      </w:hyperlink>
      <w:r w:rsidR="00281A9D">
        <w:rPr>
          <w:i/>
          <w:iCs/>
          <w:color w:val="auto"/>
          <w:sz w:val="24"/>
          <w:szCs w:val="24"/>
        </w:rPr>
        <w:t xml:space="preserve"> </w:t>
      </w:r>
    </w:p>
    <w:p w14:paraId="05250D77" w14:textId="2A5F6183" w:rsidR="007D5B6E" w:rsidRPr="00754733" w:rsidRDefault="007D5B6E" w:rsidP="00FB224F">
      <w:pPr>
        <w:spacing w:after="0" w:line="480" w:lineRule="auto"/>
        <w:ind w:left="720" w:hanging="720"/>
        <w:rPr>
          <w:sz w:val="24"/>
          <w:szCs w:val="24"/>
          <w:shd w:val="clear" w:color="auto" w:fill="FFFFFF"/>
        </w:rPr>
      </w:pPr>
      <w:r w:rsidRPr="00754733">
        <w:rPr>
          <w:color w:val="000000" w:themeColor="text1"/>
          <w:sz w:val="24"/>
          <w:szCs w:val="24"/>
        </w:rPr>
        <w:t>Jackson</w:t>
      </w:r>
      <w:r w:rsidR="007C5E9F" w:rsidRPr="00754733">
        <w:rPr>
          <w:color w:val="000000" w:themeColor="text1"/>
          <w:sz w:val="24"/>
          <w:szCs w:val="24"/>
        </w:rPr>
        <w:t>, S., Newall E.,</w:t>
      </w:r>
      <w:r w:rsidR="00B47F37" w:rsidRPr="00754733">
        <w:rPr>
          <w:color w:val="000000" w:themeColor="text1"/>
          <w:sz w:val="24"/>
          <w:szCs w:val="24"/>
        </w:rPr>
        <w:t xml:space="preserve"> and</w:t>
      </w:r>
      <w:r w:rsidR="007C5E9F" w:rsidRPr="00754733">
        <w:rPr>
          <w:color w:val="000000" w:themeColor="text1"/>
          <w:sz w:val="24"/>
          <w:szCs w:val="24"/>
        </w:rPr>
        <w:t xml:space="preserve"> </w:t>
      </w:r>
      <w:proofErr w:type="spellStart"/>
      <w:r w:rsidR="007C5E9F" w:rsidRPr="00754733">
        <w:rPr>
          <w:color w:val="000000" w:themeColor="text1"/>
          <w:sz w:val="24"/>
          <w:szCs w:val="24"/>
        </w:rPr>
        <w:t>Backett</w:t>
      </w:r>
      <w:proofErr w:type="spellEnd"/>
      <w:r w:rsidR="007C5E9F" w:rsidRPr="00754733">
        <w:rPr>
          <w:color w:val="000000" w:themeColor="text1"/>
          <w:sz w:val="24"/>
          <w:szCs w:val="24"/>
        </w:rPr>
        <w:t xml:space="preserve">-Milburn, Kathryn. </w:t>
      </w:r>
      <w:r w:rsidR="003A2D41" w:rsidRPr="00754733">
        <w:rPr>
          <w:color w:val="000000" w:themeColor="text1"/>
          <w:sz w:val="24"/>
          <w:szCs w:val="24"/>
        </w:rPr>
        <w:t xml:space="preserve">(2015, August). </w:t>
      </w:r>
      <w:r w:rsidR="00AB311D" w:rsidRPr="00754733">
        <w:rPr>
          <w:color w:val="000000" w:themeColor="text1"/>
          <w:sz w:val="24"/>
          <w:szCs w:val="24"/>
        </w:rPr>
        <w:t>Children’s narratives of sexual abuse</w:t>
      </w:r>
      <w:r w:rsidR="00AB311D" w:rsidRPr="00754733">
        <w:rPr>
          <w:i/>
          <w:iCs/>
          <w:color w:val="000000" w:themeColor="text1"/>
          <w:sz w:val="24"/>
          <w:szCs w:val="24"/>
        </w:rPr>
        <w:t>. Child &amp; Family</w:t>
      </w:r>
      <w:r w:rsidR="003A2D41" w:rsidRPr="00754733">
        <w:rPr>
          <w:i/>
          <w:iCs/>
          <w:color w:val="000000" w:themeColor="text1"/>
          <w:sz w:val="24"/>
          <w:szCs w:val="24"/>
        </w:rPr>
        <w:t xml:space="preserve"> Social Work</w:t>
      </w:r>
      <w:r w:rsidR="005919A5" w:rsidRPr="00754733">
        <w:rPr>
          <w:color w:val="000000" w:themeColor="text1"/>
          <w:sz w:val="24"/>
          <w:szCs w:val="24"/>
        </w:rPr>
        <w:t>,</w:t>
      </w:r>
      <w:r w:rsidR="003A2D41" w:rsidRPr="00754733">
        <w:rPr>
          <w:color w:val="000000" w:themeColor="text1"/>
          <w:sz w:val="24"/>
          <w:szCs w:val="24"/>
        </w:rPr>
        <w:t xml:space="preserve"> </w:t>
      </w:r>
      <w:r w:rsidR="00387F82" w:rsidRPr="00754733">
        <w:rPr>
          <w:i/>
          <w:iCs/>
          <w:color w:val="000000" w:themeColor="text1"/>
          <w:sz w:val="24"/>
          <w:szCs w:val="24"/>
        </w:rPr>
        <w:t>20</w:t>
      </w:r>
      <w:r w:rsidR="00387F82" w:rsidRPr="00754733">
        <w:rPr>
          <w:color w:val="000000" w:themeColor="text1"/>
          <w:sz w:val="24"/>
          <w:szCs w:val="24"/>
        </w:rPr>
        <w:t>(</w:t>
      </w:r>
      <w:r w:rsidR="004F617C" w:rsidRPr="00754733">
        <w:rPr>
          <w:color w:val="000000" w:themeColor="text1"/>
          <w:sz w:val="24"/>
          <w:szCs w:val="24"/>
        </w:rPr>
        <w:t>3)</w:t>
      </w:r>
      <w:r w:rsidR="005919A5" w:rsidRPr="00754733">
        <w:rPr>
          <w:color w:val="000000" w:themeColor="text1"/>
          <w:sz w:val="24"/>
          <w:szCs w:val="24"/>
        </w:rPr>
        <w:t>,</w:t>
      </w:r>
      <w:r w:rsidR="004F617C" w:rsidRPr="00754733">
        <w:rPr>
          <w:color w:val="000000" w:themeColor="text1"/>
          <w:sz w:val="24"/>
          <w:szCs w:val="24"/>
        </w:rPr>
        <w:t xml:space="preserve"> 322-332. </w:t>
      </w:r>
      <w:hyperlink r:id="rId18" w:history="1">
        <w:r w:rsidR="002D27BE" w:rsidRPr="00754733">
          <w:rPr>
            <w:rStyle w:val="Hyperlink"/>
            <w:sz w:val="24"/>
            <w:szCs w:val="24"/>
          </w:rPr>
          <w:t>https://doi.org/</w:t>
        </w:r>
        <w:r w:rsidR="002D27BE" w:rsidRPr="00754733">
          <w:rPr>
            <w:rStyle w:val="Hyperlink"/>
            <w:sz w:val="24"/>
            <w:szCs w:val="24"/>
            <w:shd w:val="clear" w:color="auto" w:fill="FFFFFF"/>
          </w:rPr>
          <w:t>10.1111/cfs.12080</w:t>
        </w:r>
      </w:hyperlink>
      <w:r w:rsidR="002D27BE" w:rsidRPr="00754733">
        <w:rPr>
          <w:sz w:val="24"/>
          <w:szCs w:val="24"/>
          <w:shd w:val="clear" w:color="auto" w:fill="FFFFFF"/>
        </w:rPr>
        <w:t xml:space="preserve"> </w:t>
      </w:r>
    </w:p>
    <w:p w14:paraId="4DC2BA28" w14:textId="7A3995E9" w:rsidR="00D75286" w:rsidRPr="00754733" w:rsidRDefault="00D75286" w:rsidP="00FB224F">
      <w:pPr>
        <w:spacing w:after="0" w:line="480" w:lineRule="auto"/>
        <w:ind w:left="720" w:hanging="720"/>
        <w:rPr>
          <w:i/>
          <w:iCs/>
          <w:sz w:val="24"/>
          <w:szCs w:val="24"/>
          <w:shd w:val="clear" w:color="auto" w:fill="FFFFFF"/>
        </w:rPr>
      </w:pPr>
      <w:proofErr w:type="spellStart"/>
      <w:r w:rsidRPr="00754733">
        <w:rPr>
          <w:sz w:val="24"/>
          <w:szCs w:val="24"/>
          <w:shd w:val="clear" w:color="auto" w:fill="FFFFFF"/>
        </w:rPr>
        <w:t>Klass</w:t>
      </w:r>
      <w:proofErr w:type="spellEnd"/>
      <w:r w:rsidRPr="00754733">
        <w:rPr>
          <w:sz w:val="24"/>
          <w:szCs w:val="24"/>
          <w:shd w:val="clear" w:color="auto" w:fill="FFFFFF"/>
        </w:rPr>
        <w:t xml:space="preserve">, P. (2016, November 1). Teaching children the real names for body parts. </w:t>
      </w:r>
      <w:r w:rsidR="00AB0E74" w:rsidRPr="00754733">
        <w:rPr>
          <w:i/>
          <w:iCs/>
          <w:sz w:val="24"/>
          <w:szCs w:val="24"/>
          <w:shd w:val="clear" w:color="auto" w:fill="FFFFFF"/>
        </w:rPr>
        <w:t>The New York Times</w:t>
      </w:r>
      <w:r w:rsidR="00DE0E4C" w:rsidRPr="00754733">
        <w:rPr>
          <w:sz w:val="24"/>
          <w:szCs w:val="24"/>
          <w:shd w:val="clear" w:color="auto" w:fill="FFFFFF"/>
        </w:rPr>
        <w:t>,</w:t>
      </w:r>
      <w:r w:rsidR="00AB0E74" w:rsidRPr="00754733">
        <w:rPr>
          <w:i/>
          <w:iCs/>
          <w:sz w:val="24"/>
          <w:szCs w:val="24"/>
          <w:shd w:val="clear" w:color="auto" w:fill="FFFFFF"/>
        </w:rPr>
        <w:t xml:space="preserve"> </w:t>
      </w:r>
      <w:hyperlink r:id="rId19" w:history="1">
        <w:r w:rsidR="007A55C4" w:rsidRPr="00754733">
          <w:rPr>
            <w:rStyle w:val="Hyperlink"/>
            <w:sz w:val="24"/>
            <w:szCs w:val="24"/>
            <w:shd w:val="clear" w:color="auto" w:fill="FFFFFF"/>
          </w:rPr>
          <w:t>https://www.nytimes.com/2016/10/31/well/family/teaching-children-the-real-names-for-body-parts.html</w:t>
        </w:r>
      </w:hyperlink>
      <w:r w:rsidR="007A55C4" w:rsidRPr="00754733">
        <w:rPr>
          <w:i/>
          <w:iCs/>
          <w:sz w:val="24"/>
          <w:szCs w:val="24"/>
          <w:shd w:val="clear" w:color="auto" w:fill="FFFFFF"/>
        </w:rPr>
        <w:t xml:space="preserve"> </w:t>
      </w:r>
    </w:p>
    <w:p w14:paraId="292AADF5" w14:textId="21AC26BC" w:rsidR="00966FB9" w:rsidRPr="00965D82" w:rsidRDefault="00966FB9" w:rsidP="00FB224F">
      <w:pPr>
        <w:spacing w:after="0" w:line="480" w:lineRule="auto"/>
        <w:ind w:left="720" w:hanging="720"/>
        <w:rPr>
          <w:sz w:val="24"/>
          <w:szCs w:val="24"/>
          <w:shd w:val="clear" w:color="auto" w:fill="FFFFFF"/>
        </w:rPr>
      </w:pPr>
      <w:proofErr w:type="spellStart"/>
      <w:r>
        <w:rPr>
          <w:sz w:val="24"/>
          <w:szCs w:val="24"/>
          <w:shd w:val="clear" w:color="auto" w:fill="FFFFFF"/>
        </w:rPr>
        <w:t>Mccoppin</w:t>
      </w:r>
      <w:proofErr w:type="spellEnd"/>
      <w:r>
        <w:rPr>
          <w:sz w:val="24"/>
          <w:szCs w:val="24"/>
          <w:shd w:val="clear" w:color="auto" w:fill="FFFFFF"/>
        </w:rPr>
        <w:t xml:space="preserve">, R. </w:t>
      </w:r>
      <w:r w:rsidR="00C0402E">
        <w:rPr>
          <w:sz w:val="24"/>
          <w:szCs w:val="24"/>
          <w:shd w:val="clear" w:color="auto" w:fill="FFFFFF"/>
        </w:rPr>
        <w:t>(2017, August 30). West Chicago public library denies request to remove gay pride book</w:t>
      </w:r>
      <w:r w:rsidR="00965D82">
        <w:rPr>
          <w:sz w:val="24"/>
          <w:szCs w:val="24"/>
          <w:shd w:val="clear" w:color="auto" w:fill="FFFFFF"/>
        </w:rPr>
        <w:t xml:space="preserve">. </w:t>
      </w:r>
      <w:r w:rsidR="00965D82">
        <w:rPr>
          <w:i/>
          <w:iCs/>
          <w:sz w:val="24"/>
          <w:szCs w:val="24"/>
          <w:shd w:val="clear" w:color="auto" w:fill="FFFFFF"/>
        </w:rPr>
        <w:t>Chicago Tribune</w:t>
      </w:r>
      <w:r w:rsidR="00965D82">
        <w:rPr>
          <w:sz w:val="24"/>
          <w:szCs w:val="24"/>
          <w:shd w:val="clear" w:color="auto" w:fill="FFFFFF"/>
        </w:rPr>
        <w:t xml:space="preserve">. </w:t>
      </w:r>
      <w:hyperlink r:id="rId20" w:history="1">
        <w:r w:rsidR="00FE66D3" w:rsidRPr="003C0A23">
          <w:rPr>
            <w:rStyle w:val="Hyperlink"/>
            <w:sz w:val="24"/>
            <w:szCs w:val="24"/>
            <w:shd w:val="clear" w:color="auto" w:fill="FFFFFF"/>
          </w:rPr>
          <w:t>https://www.chicagotribune.com/news/breaking/ct-gay-pride-childrens-book-west-chicago-library-met-20170829-story.html</w:t>
        </w:r>
      </w:hyperlink>
      <w:r w:rsidR="00FE66D3">
        <w:rPr>
          <w:sz w:val="24"/>
          <w:szCs w:val="24"/>
          <w:shd w:val="clear" w:color="auto" w:fill="FFFFFF"/>
        </w:rPr>
        <w:t xml:space="preserve"> </w:t>
      </w:r>
    </w:p>
    <w:p w14:paraId="6591E3AC" w14:textId="6DBDE5ED" w:rsidR="003D359B" w:rsidRPr="00754733" w:rsidRDefault="00836F49" w:rsidP="00FB224F">
      <w:pPr>
        <w:spacing w:after="0" w:line="480" w:lineRule="auto"/>
        <w:ind w:left="720" w:hanging="720"/>
        <w:rPr>
          <w:color w:val="595959"/>
          <w:sz w:val="24"/>
          <w:szCs w:val="24"/>
        </w:rPr>
      </w:pPr>
      <w:r w:rsidRPr="00754733">
        <w:rPr>
          <w:sz w:val="24"/>
          <w:szCs w:val="24"/>
          <w:shd w:val="clear" w:color="auto" w:fill="FFFFFF"/>
        </w:rPr>
        <w:t xml:space="preserve">Meriam-Webster. (2022). </w:t>
      </w:r>
      <w:r w:rsidR="001D7298" w:rsidRPr="00754733">
        <w:rPr>
          <w:i/>
          <w:iCs/>
          <w:sz w:val="24"/>
          <w:szCs w:val="24"/>
          <w:shd w:val="clear" w:color="auto" w:fill="FFFFFF"/>
        </w:rPr>
        <w:t>Scrotum</w:t>
      </w:r>
      <w:r w:rsidR="001D7298" w:rsidRPr="00754733">
        <w:rPr>
          <w:sz w:val="24"/>
          <w:szCs w:val="24"/>
          <w:shd w:val="clear" w:color="auto" w:fill="FFFFFF"/>
        </w:rPr>
        <w:t xml:space="preserve">. </w:t>
      </w:r>
      <w:hyperlink r:id="rId21" w:history="1">
        <w:r w:rsidR="001D7298" w:rsidRPr="00754733">
          <w:rPr>
            <w:rStyle w:val="Hyperlink"/>
            <w:sz w:val="24"/>
            <w:szCs w:val="24"/>
            <w:shd w:val="clear" w:color="auto" w:fill="FFFFFF"/>
          </w:rPr>
          <w:t>https://www.merriam-webster.com/dictionary/scrotum</w:t>
        </w:r>
      </w:hyperlink>
      <w:r w:rsidR="001D7298" w:rsidRPr="00754733">
        <w:rPr>
          <w:sz w:val="24"/>
          <w:szCs w:val="24"/>
          <w:shd w:val="clear" w:color="auto" w:fill="FFFFFF"/>
        </w:rPr>
        <w:t xml:space="preserve"> </w:t>
      </w:r>
    </w:p>
    <w:p w14:paraId="4E54B51E" w14:textId="77777777" w:rsidR="00172B33" w:rsidRPr="00754733" w:rsidRDefault="00172B33" w:rsidP="00172B33">
      <w:pPr>
        <w:spacing w:after="0" w:line="480" w:lineRule="auto"/>
        <w:ind w:left="720" w:hanging="720"/>
        <w:rPr>
          <w:sz w:val="24"/>
          <w:szCs w:val="24"/>
        </w:rPr>
      </w:pPr>
      <w:r w:rsidRPr="00033253">
        <w:rPr>
          <w:sz w:val="24"/>
          <w:szCs w:val="24"/>
        </w:rPr>
        <w:t>Newbery winner spawns controversy</w:t>
      </w:r>
      <w:r w:rsidRPr="00754733">
        <w:rPr>
          <w:sz w:val="24"/>
          <w:szCs w:val="24"/>
        </w:rPr>
        <w:t xml:space="preserve">. (2007, June/July). </w:t>
      </w:r>
      <w:r w:rsidRPr="00737FC1">
        <w:rPr>
          <w:i/>
          <w:iCs/>
          <w:sz w:val="24"/>
          <w:szCs w:val="24"/>
        </w:rPr>
        <w:t>Reading Today</w:t>
      </w:r>
      <w:r>
        <w:rPr>
          <w:sz w:val="24"/>
          <w:szCs w:val="24"/>
        </w:rPr>
        <w:t>,</w:t>
      </w:r>
      <w:r w:rsidRPr="00754733">
        <w:rPr>
          <w:i/>
          <w:iCs/>
          <w:sz w:val="24"/>
          <w:szCs w:val="24"/>
        </w:rPr>
        <w:t xml:space="preserve"> 24</w:t>
      </w:r>
      <w:r w:rsidRPr="00754733">
        <w:rPr>
          <w:sz w:val="24"/>
          <w:szCs w:val="24"/>
        </w:rPr>
        <w:t xml:space="preserve">(6), 28 </w:t>
      </w:r>
      <w:hyperlink r:id="rId22" w:anchor="AN=25441384&amp;db=a9h" w:history="1">
        <w:r w:rsidRPr="00754733">
          <w:rPr>
            <w:rStyle w:val="Hyperlink"/>
            <w:sz w:val="24"/>
            <w:szCs w:val="24"/>
          </w:rPr>
          <w:t>https://web-p-ebscohost-</w:t>
        </w:r>
        <w:r w:rsidRPr="00754733">
          <w:rPr>
            <w:rStyle w:val="Hyperlink"/>
            <w:sz w:val="24"/>
            <w:szCs w:val="24"/>
          </w:rPr>
          <w:lastRenderedPageBreak/>
          <w:t>com.proxy.lib.odu.edu/ehost/detail/detail?vid=2&amp;sid=958d70b8-f8dc-44fe-8b60-308b56e340c3%40redis&amp;bdata=JnNjb3BlPXNpdGU%3d#AN=25441384&amp;db=a9h</w:t>
        </w:r>
      </w:hyperlink>
      <w:r w:rsidRPr="00754733">
        <w:rPr>
          <w:sz w:val="24"/>
          <w:szCs w:val="24"/>
        </w:rPr>
        <w:t xml:space="preserve">  </w:t>
      </w:r>
    </w:p>
    <w:p w14:paraId="7212936A" w14:textId="2B1E7DE2" w:rsidR="00AA5E12" w:rsidRPr="00754733" w:rsidRDefault="00724D39" w:rsidP="00FB224F">
      <w:pPr>
        <w:spacing w:after="0" w:line="480" w:lineRule="auto"/>
        <w:ind w:left="720" w:hanging="720"/>
        <w:rPr>
          <w:sz w:val="24"/>
          <w:szCs w:val="24"/>
        </w:rPr>
      </w:pPr>
      <w:proofErr w:type="spellStart"/>
      <w:r w:rsidRPr="00754733">
        <w:rPr>
          <w:sz w:val="24"/>
          <w:szCs w:val="24"/>
        </w:rPr>
        <w:t>NoveList</w:t>
      </w:r>
      <w:proofErr w:type="spellEnd"/>
      <w:r w:rsidRPr="00754733">
        <w:rPr>
          <w:sz w:val="24"/>
          <w:szCs w:val="24"/>
        </w:rPr>
        <w:t xml:space="preserve"> K-8 Plus. </w:t>
      </w:r>
      <w:r w:rsidR="00CE41FE" w:rsidRPr="00754733">
        <w:rPr>
          <w:sz w:val="24"/>
          <w:szCs w:val="24"/>
        </w:rPr>
        <w:t xml:space="preserve">(2022). </w:t>
      </w:r>
      <w:r w:rsidR="00CE41FE" w:rsidRPr="00754733">
        <w:rPr>
          <w:i/>
          <w:iCs/>
          <w:sz w:val="24"/>
          <w:szCs w:val="24"/>
        </w:rPr>
        <w:t>The higher power of lucky</w:t>
      </w:r>
      <w:r w:rsidR="00CE41FE" w:rsidRPr="00754733">
        <w:rPr>
          <w:sz w:val="24"/>
          <w:szCs w:val="24"/>
        </w:rPr>
        <w:t xml:space="preserve">. </w:t>
      </w:r>
      <w:hyperlink r:id="rId23" w:anchor="UI=159353&amp;db=njh" w:history="1">
        <w:r w:rsidR="00CE41FE" w:rsidRPr="00754733">
          <w:rPr>
            <w:rStyle w:val="Hyperlink"/>
            <w:sz w:val="24"/>
            <w:szCs w:val="24"/>
          </w:rPr>
          <w:t>https://web.p.ebscohost.com/novpk8/detail?vid=2&amp;sid=8521ada9-d0fa-4c71-a57c-242b470c791d%40redis&amp;bdata=JkF1dGhUeXBlPWNvb2tpZSxpcCxjcGlkJmN1c3RpZD1zODkxMjk5NyZzaXRlPW5vdnBrOC1saXZlJnNjb3BlPXNpdGU%3d#UI=159353&amp;db=njh</w:t>
        </w:r>
      </w:hyperlink>
      <w:r w:rsidRPr="00754733">
        <w:rPr>
          <w:sz w:val="24"/>
          <w:szCs w:val="24"/>
        </w:rPr>
        <w:t xml:space="preserve"> </w:t>
      </w:r>
    </w:p>
    <w:p w14:paraId="6B441F8D" w14:textId="6F38D969" w:rsidR="002D481D" w:rsidRPr="00754733" w:rsidRDefault="002D481D" w:rsidP="00FB224F">
      <w:pPr>
        <w:spacing w:after="0" w:line="480" w:lineRule="auto"/>
        <w:ind w:left="720" w:hanging="720"/>
        <w:rPr>
          <w:sz w:val="24"/>
          <w:szCs w:val="24"/>
        </w:rPr>
      </w:pPr>
      <w:r w:rsidRPr="00754733">
        <w:rPr>
          <w:sz w:val="24"/>
          <w:szCs w:val="24"/>
        </w:rPr>
        <w:t>Scholastic</w:t>
      </w:r>
      <w:r w:rsidR="004D711B" w:rsidRPr="00754733">
        <w:rPr>
          <w:sz w:val="24"/>
          <w:szCs w:val="24"/>
        </w:rPr>
        <w:t xml:space="preserve">. (2021). </w:t>
      </w:r>
      <w:r w:rsidR="004D711B" w:rsidRPr="00754733">
        <w:rPr>
          <w:i/>
          <w:iCs/>
          <w:sz w:val="24"/>
          <w:szCs w:val="24"/>
        </w:rPr>
        <w:t>Great books for summer</w:t>
      </w:r>
      <w:r w:rsidR="004D711B" w:rsidRPr="00754733">
        <w:rPr>
          <w:sz w:val="24"/>
          <w:szCs w:val="24"/>
        </w:rPr>
        <w:t xml:space="preserve">. </w:t>
      </w:r>
      <w:hyperlink r:id="rId24" w:history="1">
        <w:r w:rsidR="009907B9" w:rsidRPr="00754733">
          <w:rPr>
            <w:rStyle w:val="Hyperlink"/>
            <w:sz w:val="24"/>
            <w:szCs w:val="24"/>
          </w:rPr>
          <w:t>https://www.scholastic.com/teachers/articles/teaching-content/great-books-summer/</w:t>
        </w:r>
      </w:hyperlink>
      <w:r w:rsidR="009907B9" w:rsidRPr="00754733">
        <w:rPr>
          <w:sz w:val="24"/>
          <w:szCs w:val="24"/>
        </w:rPr>
        <w:t xml:space="preserve"> </w:t>
      </w:r>
    </w:p>
    <w:p w14:paraId="592EB60B" w14:textId="77777777" w:rsidR="00CD3635" w:rsidRPr="00754733" w:rsidRDefault="00060B54" w:rsidP="00FB224F">
      <w:pPr>
        <w:spacing w:after="0" w:line="480" w:lineRule="auto"/>
        <w:ind w:left="720" w:hanging="720"/>
        <w:rPr>
          <w:sz w:val="24"/>
          <w:szCs w:val="24"/>
        </w:rPr>
      </w:pPr>
      <w:r w:rsidRPr="00754733">
        <w:rPr>
          <w:sz w:val="24"/>
          <w:szCs w:val="24"/>
        </w:rPr>
        <w:t xml:space="preserve">Scholastic. </w:t>
      </w:r>
      <w:r w:rsidR="000E44F6" w:rsidRPr="00754733">
        <w:rPr>
          <w:sz w:val="24"/>
          <w:szCs w:val="24"/>
        </w:rPr>
        <w:t xml:space="preserve">(2021). </w:t>
      </w:r>
      <w:r w:rsidR="000E44F6" w:rsidRPr="00754733">
        <w:rPr>
          <w:i/>
          <w:iCs/>
          <w:sz w:val="24"/>
          <w:szCs w:val="24"/>
        </w:rPr>
        <w:t>The higher power of lucky</w:t>
      </w:r>
      <w:r w:rsidR="000E44F6" w:rsidRPr="00754733">
        <w:rPr>
          <w:sz w:val="24"/>
          <w:szCs w:val="24"/>
        </w:rPr>
        <w:t xml:space="preserve">. </w:t>
      </w:r>
      <w:hyperlink r:id="rId25" w:history="1">
        <w:r w:rsidR="000E44F6" w:rsidRPr="00754733">
          <w:rPr>
            <w:rStyle w:val="Hyperlink"/>
            <w:sz w:val="24"/>
            <w:szCs w:val="24"/>
          </w:rPr>
          <w:t>https://shop.scholastic.com/parent-ecommerce/books/-9781416901945.html</w:t>
        </w:r>
      </w:hyperlink>
    </w:p>
    <w:p w14:paraId="2295C20A" w14:textId="47DC1E72" w:rsidR="00CD3635" w:rsidRPr="00754733" w:rsidRDefault="003C2BAB" w:rsidP="00FB224F">
      <w:pPr>
        <w:spacing w:after="0" w:line="480" w:lineRule="auto"/>
        <w:ind w:left="720" w:hanging="720"/>
        <w:rPr>
          <w:sz w:val="24"/>
          <w:szCs w:val="24"/>
        </w:rPr>
      </w:pPr>
      <w:r w:rsidRPr="00754733">
        <w:rPr>
          <w:sz w:val="24"/>
          <w:szCs w:val="24"/>
        </w:rPr>
        <w:t xml:space="preserve">Whelan, D. (2009, February 2). </w:t>
      </w:r>
      <w:r w:rsidR="00EF7522" w:rsidRPr="00754733">
        <w:rPr>
          <w:sz w:val="24"/>
          <w:szCs w:val="24"/>
        </w:rPr>
        <w:t xml:space="preserve">A dirty little secret: Self-Censorship. </w:t>
      </w:r>
      <w:r w:rsidR="00EF7522" w:rsidRPr="00754733">
        <w:rPr>
          <w:i/>
          <w:iCs/>
          <w:sz w:val="24"/>
          <w:szCs w:val="24"/>
        </w:rPr>
        <w:t>School Library Journal</w:t>
      </w:r>
      <w:r w:rsidR="00B80AB0" w:rsidRPr="00754733">
        <w:rPr>
          <w:sz w:val="24"/>
          <w:szCs w:val="24"/>
        </w:rPr>
        <w:t>.</w:t>
      </w:r>
      <w:r w:rsidR="0011611B" w:rsidRPr="00754733">
        <w:rPr>
          <w:sz w:val="24"/>
          <w:szCs w:val="24"/>
        </w:rPr>
        <w:t xml:space="preserve"> </w:t>
      </w:r>
      <w:hyperlink r:id="rId26" w:history="1">
        <w:r w:rsidR="008941FB" w:rsidRPr="00754733">
          <w:rPr>
            <w:rStyle w:val="Hyperlink"/>
            <w:sz w:val="24"/>
            <w:szCs w:val="24"/>
          </w:rPr>
          <w:t>https://www.slj.com/?detailStory=a-dirty-little-secret-self-censorship</w:t>
        </w:r>
      </w:hyperlink>
      <w:r w:rsidR="00CD3635" w:rsidRPr="00754733">
        <w:rPr>
          <w:sz w:val="24"/>
          <w:szCs w:val="24"/>
        </w:rPr>
        <w:t xml:space="preserve"> </w:t>
      </w:r>
    </w:p>
    <w:p w14:paraId="6DD7413D" w14:textId="77777777" w:rsidR="00CD3635" w:rsidRPr="00754733" w:rsidRDefault="00CD3635" w:rsidP="00CD3635">
      <w:pPr>
        <w:rPr>
          <w:sz w:val="24"/>
          <w:szCs w:val="24"/>
        </w:rPr>
      </w:pPr>
    </w:p>
    <w:p w14:paraId="61768485" w14:textId="32DFAD6A" w:rsidR="00C61C0F" w:rsidRPr="00754733" w:rsidRDefault="00C61C0F">
      <w:pPr>
        <w:rPr>
          <w:sz w:val="24"/>
          <w:szCs w:val="24"/>
        </w:rPr>
      </w:pPr>
      <w:r w:rsidRPr="00754733">
        <w:rPr>
          <w:sz w:val="24"/>
          <w:szCs w:val="24"/>
        </w:rPr>
        <w:br w:type="page"/>
      </w:r>
    </w:p>
    <w:p w14:paraId="4A0C7CEC" w14:textId="656074FB" w:rsidR="00060B54" w:rsidRPr="00754733" w:rsidRDefault="0046637E" w:rsidP="0046637E">
      <w:pPr>
        <w:jc w:val="center"/>
        <w:rPr>
          <w:b/>
          <w:bCs/>
          <w:sz w:val="24"/>
          <w:szCs w:val="24"/>
        </w:rPr>
      </w:pPr>
      <w:r w:rsidRPr="00754733">
        <w:rPr>
          <w:b/>
          <w:bCs/>
          <w:sz w:val="24"/>
          <w:szCs w:val="24"/>
        </w:rPr>
        <w:lastRenderedPageBreak/>
        <w:t>A Scrotum is a Scrotum</w:t>
      </w:r>
      <w:r w:rsidR="00F52410" w:rsidRPr="00754733">
        <w:rPr>
          <w:b/>
          <w:bCs/>
          <w:sz w:val="24"/>
          <w:szCs w:val="24"/>
        </w:rPr>
        <w:t xml:space="preserve">: </w:t>
      </w:r>
      <w:r w:rsidR="00F52410" w:rsidRPr="00754733">
        <w:rPr>
          <w:rFonts w:eastAsia="Arial"/>
          <w:b/>
          <w:sz w:val="24"/>
          <w:szCs w:val="24"/>
          <w:highlight w:val="white"/>
        </w:rPr>
        <w:t xml:space="preserve">Speaking Notes on </w:t>
      </w:r>
      <w:r w:rsidR="00F52410" w:rsidRPr="00754733">
        <w:rPr>
          <w:rFonts w:eastAsia="Arial"/>
          <w:b/>
          <w:i/>
          <w:iCs/>
          <w:sz w:val="24"/>
          <w:szCs w:val="24"/>
          <w:highlight w:val="white"/>
        </w:rPr>
        <w:t>The Higher Power of Lucky</w:t>
      </w:r>
      <w:r w:rsidRPr="00754733">
        <w:rPr>
          <w:b/>
          <w:bCs/>
          <w:sz w:val="24"/>
          <w:szCs w:val="24"/>
        </w:rPr>
        <w:t xml:space="preserve"> Annotated Bibliography</w:t>
      </w:r>
    </w:p>
    <w:p w14:paraId="4074ACA2" w14:textId="570F8875" w:rsidR="00F52410" w:rsidRPr="00754733" w:rsidRDefault="00F52410" w:rsidP="0046637E">
      <w:pPr>
        <w:jc w:val="center"/>
        <w:rPr>
          <w:b/>
          <w:bCs/>
          <w:sz w:val="24"/>
          <w:szCs w:val="24"/>
        </w:rPr>
      </w:pPr>
    </w:p>
    <w:p w14:paraId="4D42B301" w14:textId="421CC22C" w:rsidR="005173BA" w:rsidRPr="00754733" w:rsidRDefault="005173BA" w:rsidP="005173BA">
      <w:pPr>
        <w:spacing w:after="0" w:line="480" w:lineRule="auto"/>
        <w:ind w:left="720" w:hanging="720"/>
        <w:rPr>
          <w:sz w:val="24"/>
          <w:szCs w:val="24"/>
        </w:rPr>
      </w:pPr>
      <w:proofErr w:type="spellStart"/>
      <w:r w:rsidRPr="00754733">
        <w:rPr>
          <w:sz w:val="24"/>
          <w:szCs w:val="24"/>
        </w:rPr>
        <w:t>Buni</w:t>
      </w:r>
      <w:proofErr w:type="spellEnd"/>
      <w:r w:rsidRPr="00754733">
        <w:rPr>
          <w:sz w:val="24"/>
          <w:szCs w:val="24"/>
        </w:rPr>
        <w:t xml:space="preserve">, C. (2013. April 15). The case for teaching kids ‘vagina,’ ‘penis,’ and ‘vulva.’ </w:t>
      </w:r>
      <w:r w:rsidRPr="00754733">
        <w:rPr>
          <w:i/>
          <w:iCs/>
          <w:sz w:val="24"/>
          <w:szCs w:val="24"/>
        </w:rPr>
        <w:t>The Atlantic</w:t>
      </w:r>
      <w:r w:rsidRPr="00754733">
        <w:rPr>
          <w:sz w:val="24"/>
          <w:szCs w:val="24"/>
        </w:rPr>
        <w:t xml:space="preserve">, </w:t>
      </w:r>
      <w:hyperlink r:id="rId27" w:history="1">
        <w:r w:rsidRPr="00754733">
          <w:rPr>
            <w:rStyle w:val="Hyperlink"/>
            <w:sz w:val="24"/>
            <w:szCs w:val="24"/>
          </w:rPr>
          <w:t>https://www.theatlantic.com/health/archive/2013/04/the-case-for-teaching-kids-vagina-penis-and-vulva/274969/</w:t>
        </w:r>
      </w:hyperlink>
      <w:r w:rsidRPr="00754733">
        <w:rPr>
          <w:sz w:val="24"/>
          <w:szCs w:val="24"/>
        </w:rPr>
        <w:t xml:space="preserve"> </w:t>
      </w:r>
    </w:p>
    <w:p w14:paraId="6451DF3C" w14:textId="290691FA" w:rsidR="00257E80" w:rsidRPr="00754733" w:rsidRDefault="00A430ED" w:rsidP="00257E80">
      <w:pPr>
        <w:spacing w:after="0" w:line="480" w:lineRule="auto"/>
        <w:ind w:left="720"/>
        <w:rPr>
          <w:sz w:val="24"/>
          <w:szCs w:val="24"/>
        </w:rPr>
      </w:pPr>
      <w:proofErr w:type="spellStart"/>
      <w:r w:rsidRPr="00754733">
        <w:rPr>
          <w:sz w:val="24"/>
          <w:szCs w:val="24"/>
        </w:rPr>
        <w:t>Buni</w:t>
      </w:r>
      <w:proofErr w:type="spellEnd"/>
      <w:r w:rsidRPr="00754733">
        <w:rPr>
          <w:sz w:val="24"/>
          <w:szCs w:val="24"/>
        </w:rPr>
        <w:t xml:space="preserve"> </w:t>
      </w:r>
      <w:r w:rsidR="00EB793D" w:rsidRPr="00754733">
        <w:rPr>
          <w:sz w:val="24"/>
          <w:szCs w:val="24"/>
        </w:rPr>
        <w:t xml:space="preserve">establishes that sexual abuse prevention experts </w:t>
      </w:r>
      <w:r w:rsidR="006804EE" w:rsidRPr="00754733">
        <w:rPr>
          <w:sz w:val="24"/>
          <w:szCs w:val="24"/>
        </w:rPr>
        <w:t xml:space="preserve">believe that </w:t>
      </w:r>
      <w:r w:rsidR="00F54145" w:rsidRPr="00754733">
        <w:rPr>
          <w:sz w:val="24"/>
          <w:szCs w:val="24"/>
        </w:rPr>
        <w:t xml:space="preserve">the </w:t>
      </w:r>
      <w:r w:rsidR="006804EE" w:rsidRPr="00754733">
        <w:rPr>
          <w:sz w:val="24"/>
          <w:szCs w:val="24"/>
        </w:rPr>
        <w:t>use of correct terminology for body parts helps</w:t>
      </w:r>
      <w:r w:rsidR="000A0CEB" w:rsidRPr="00754733">
        <w:rPr>
          <w:sz w:val="24"/>
          <w:szCs w:val="24"/>
        </w:rPr>
        <w:t xml:space="preserve"> not hurts</w:t>
      </w:r>
      <w:r w:rsidR="006804EE" w:rsidRPr="00754733">
        <w:rPr>
          <w:sz w:val="24"/>
          <w:szCs w:val="24"/>
        </w:rPr>
        <w:t xml:space="preserve"> children</w:t>
      </w:r>
      <w:r w:rsidR="00F139A2" w:rsidRPr="00754733">
        <w:rPr>
          <w:sz w:val="24"/>
          <w:szCs w:val="24"/>
        </w:rPr>
        <w:t xml:space="preserve">. She talks </w:t>
      </w:r>
      <w:r w:rsidR="006804EE" w:rsidRPr="00754733">
        <w:rPr>
          <w:sz w:val="24"/>
          <w:szCs w:val="24"/>
        </w:rPr>
        <w:t xml:space="preserve">with several </w:t>
      </w:r>
      <w:r w:rsidR="00657827" w:rsidRPr="00754733">
        <w:rPr>
          <w:sz w:val="24"/>
          <w:szCs w:val="24"/>
        </w:rPr>
        <w:t>experts</w:t>
      </w:r>
      <w:r w:rsidR="00473D6C" w:rsidRPr="00754733">
        <w:rPr>
          <w:sz w:val="24"/>
          <w:szCs w:val="24"/>
        </w:rPr>
        <w:t>, see</w:t>
      </w:r>
      <w:r w:rsidR="00F139A2" w:rsidRPr="00754733">
        <w:rPr>
          <w:sz w:val="24"/>
          <w:szCs w:val="24"/>
        </w:rPr>
        <w:t>s</w:t>
      </w:r>
      <w:r w:rsidR="00473D6C" w:rsidRPr="00754733">
        <w:rPr>
          <w:sz w:val="24"/>
          <w:szCs w:val="24"/>
        </w:rPr>
        <w:t xml:space="preserve"> what they do, and the outcomes they have seen. </w:t>
      </w:r>
      <w:r w:rsidR="00CB075F" w:rsidRPr="00754733">
        <w:rPr>
          <w:sz w:val="24"/>
          <w:szCs w:val="24"/>
        </w:rPr>
        <w:t>Laura Palumbo, a prevention specialist with</w:t>
      </w:r>
      <w:r w:rsidR="00E249E1" w:rsidRPr="00754733">
        <w:rPr>
          <w:sz w:val="24"/>
          <w:szCs w:val="24"/>
        </w:rPr>
        <w:t xml:space="preserve"> the</w:t>
      </w:r>
      <w:r w:rsidR="00CB075F" w:rsidRPr="00754733">
        <w:rPr>
          <w:sz w:val="24"/>
          <w:szCs w:val="24"/>
        </w:rPr>
        <w:t xml:space="preserve"> National Sexual Violence Resource Center</w:t>
      </w:r>
      <w:r w:rsidR="00DA6463" w:rsidRPr="00754733">
        <w:rPr>
          <w:sz w:val="24"/>
          <w:szCs w:val="24"/>
        </w:rPr>
        <w:t>, says a</w:t>
      </w:r>
      <w:r w:rsidR="00216BE7" w:rsidRPr="00754733">
        <w:rPr>
          <w:sz w:val="24"/>
          <w:szCs w:val="24"/>
        </w:rPr>
        <w:t>ge appropriately teaching children correct terms</w:t>
      </w:r>
      <w:r w:rsidR="00DA6463" w:rsidRPr="00754733">
        <w:rPr>
          <w:sz w:val="24"/>
          <w:szCs w:val="24"/>
        </w:rPr>
        <w:t xml:space="preserve"> </w:t>
      </w:r>
      <w:r w:rsidR="00E60251" w:rsidRPr="00754733">
        <w:rPr>
          <w:sz w:val="24"/>
          <w:szCs w:val="24"/>
        </w:rPr>
        <w:t>for</w:t>
      </w:r>
      <w:r w:rsidR="00DA6463" w:rsidRPr="00754733">
        <w:rPr>
          <w:sz w:val="24"/>
          <w:szCs w:val="24"/>
        </w:rPr>
        <w:t xml:space="preserve"> body parts</w:t>
      </w:r>
      <w:r w:rsidR="007D2229" w:rsidRPr="00754733">
        <w:rPr>
          <w:sz w:val="24"/>
          <w:szCs w:val="24"/>
        </w:rPr>
        <w:t xml:space="preserve"> discourages those who would sexually abuse</w:t>
      </w:r>
      <w:r w:rsidR="00E60251" w:rsidRPr="00754733">
        <w:rPr>
          <w:sz w:val="24"/>
          <w:szCs w:val="24"/>
        </w:rPr>
        <w:t xml:space="preserve"> them</w:t>
      </w:r>
      <w:r w:rsidR="00A72BDC" w:rsidRPr="00754733">
        <w:rPr>
          <w:sz w:val="24"/>
          <w:szCs w:val="24"/>
        </w:rPr>
        <w:t xml:space="preserve"> and</w:t>
      </w:r>
      <w:r w:rsidR="007D2229" w:rsidRPr="00754733">
        <w:rPr>
          <w:sz w:val="24"/>
          <w:szCs w:val="24"/>
        </w:rPr>
        <w:t xml:space="preserve"> encourages</w:t>
      </w:r>
      <w:r w:rsidR="008110BA" w:rsidRPr="00754733">
        <w:rPr>
          <w:sz w:val="24"/>
          <w:szCs w:val="24"/>
        </w:rPr>
        <w:t xml:space="preserve"> self</w:t>
      </w:r>
      <w:r w:rsidR="00A72BDC" w:rsidRPr="00754733">
        <w:rPr>
          <w:sz w:val="24"/>
          <w:szCs w:val="24"/>
        </w:rPr>
        <w:t>-</w:t>
      </w:r>
      <w:r w:rsidR="008110BA" w:rsidRPr="00754733">
        <w:rPr>
          <w:sz w:val="24"/>
          <w:szCs w:val="24"/>
        </w:rPr>
        <w:t>confidence,</w:t>
      </w:r>
      <w:r w:rsidR="007D2229" w:rsidRPr="00754733">
        <w:rPr>
          <w:sz w:val="24"/>
          <w:szCs w:val="24"/>
        </w:rPr>
        <w:t xml:space="preserve"> body image positivity,</w:t>
      </w:r>
      <w:r w:rsidR="008110BA" w:rsidRPr="00754733">
        <w:rPr>
          <w:sz w:val="24"/>
          <w:szCs w:val="24"/>
        </w:rPr>
        <w:t xml:space="preserve"> and child to parent communication</w:t>
      </w:r>
      <w:r w:rsidR="00A72BDC" w:rsidRPr="00754733">
        <w:rPr>
          <w:sz w:val="24"/>
          <w:szCs w:val="24"/>
        </w:rPr>
        <w:t xml:space="preserve">. </w:t>
      </w:r>
      <w:r w:rsidR="00CB7DFB" w:rsidRPr="00754733">
        <w:rPr>
          <w:sz w:val="24"/>
          <w:szCs w:val="24"/>
        </w:rPr>
        <w:t>She says it</w:t>
      </w:r>
      <w:r w:rsidR="00A72BDC" w:rsidRPr="00754733">
        <w:rPr>
          <w:sz w:val="24"/>
          <w:szCs w:val="24"/>
        </w:rPr>
        <w:t xml:space="preserve"> can also help with the accuracy of the </w:t>
      </w:r>
      <w:r w:rsidR="00E60251" w:rsidRPr="00754733">
        <w:rPr>
          <w:sz w:val="24"/>
          <w:szCs w:val="24"/>
        </w:rPr>
        <w:t xml:space="preserve">reporting </w:t>
      </w:r>
      <w:r w:rsidR="00A72BDC" w:rsidRPr="00754733">
        <w:rPr>
          <w:sz w:val="24"/>
          <w:szCs w:val="24"/>
        </w:rPr>
        <w:t>process if sexual abuse does occur</w:t>
      </w:r>
      <w:r w:rsidR="0030133A" w:rsidRPr="00754733">
        <w:rPr>
          <w:sz w:val="24"/>
          <w:szCs w:val="24"/>
        </w:rPr>
        <w:t xml:space="preserve"> because the child knows the correct term, not a euphemism</w:t>
      </w:r>
      <w:r w:rsidR="00A72BDC" w:rsidRPr="00754733">
        <w:rPr>
          <w:sz w:val="24"/>
          <w:szCs w:val="24"/>
        </w:rPr>
        <w:t>.</w:t>
      </w:r>
      <w:r w:rsidR="00C328D0" w:rsidRPr="00754733">
        <w:rPr>
          <w:sz w:val="24"/>
          <w:szCs w:val="24"/>
        </w:rPr>
        <w:t xml:space="preserve"> </w:t>
      </w:r>
      <w:r w:rsidR="00875D1B" w:rsidRPr="00754733">
        <w:rPr>
          <w:sz w:val="24"/>
          <w:szCs w:val="24"/>
        </w:rPr>
        <w:t xml:space="preserve">The use of the word scrotum in </w:t>
      </w:r>
      <w:r w:rsidR="00875D1B" w:rsidRPr="00754733">
        <w:rPr>
          <w:i/>
          <w:iCs/>
          <w:sz w:val="24"/>
          <w:szCs w:val="24"/>
        </w:rPr>
        <w:t>The Higher Power of Lucky</w:t>
      </w:r>
      <w:r w:rsidR="00875D1B" w:rsidRPr="00754733">
        <w:rPr>
          <w:sz w:val="24"/>
          <w:szCs w:val="24"/>
        </w:rPr>
        <w:t xml:space="preserve"> is the correct term</w:t>
      </w:r>
      <w:r w:rsidR="00A6288A" w:rsidRPr="00754733">
        <w:rPr>
          <w:sz w:val="24"/>
          <w:szCs w:val="24"/>
        </w:rPr>
        <w:t xml:space="preserve"> for what it refers to on a dog who was bitten by a snake</w:t>
      </w:r>
      <w:r w:rsidR="00E26BAA" w:rsidRPr="00754733">
        <w:rPr>
          <w:sz w:val="24"/>
          <w:szCs w:val="24"/>
        </w:rPr>
        <w:t>. S</w:t>
      </w:r>
      <w:r w:rsidR="00C567AD" w:rsidRPr="00754733">
        <w:rPr>
          <w:sz w:val="24"/>
          <w:szCs w:val="24"/>
        </w:rPr>
        <w:t xml:space="preserve">crotum </w:t>
      </w:r>
      <w:r w:rsidR="00875D1B" w:rsidRPr="00754733">
        <w:rPr>
          <w:sz w:val="24"/>
          <w:szCs w:val="24"/>
        </w:rPr>
        <w:t>is just a body part</w:t>
      </w:r>
      <w:r w:rsidR="005F41E2" w:rsidRPr="00754733">
        <w:rPr>
          <w:sz w:val="24"/>
          <w:szCs w:val="24"/>
        </w:rPr>
        <w:t>,</w:t>
      </w:r>
      <w:r w:rsidR="00E26BAA" w:rsidRPr="00754733">
        <w:rPr>
          <w:sz w:val="24"/>
          <w:szCs w:val="24"/>
        </w:rPr>
        <w:t xml:space="preserve"> and </w:t>
      </w:r>
      <w:r w:rsidR="005F41E2" w:rsidRPr="00754733">
        <w:rPr>
          <w:sz w:val="24"/>
          <w:szCs w:val="24"/>
        </w:rPr>
        <w:t xml:space="preserve">it </w:t>
      </w:r>
      <w:r w:rsidR="00E26BAA" w:rsidRPr="00754733">
        <w:rPr>
          <w:sz w:val="24"/>
          <w:szCs w:val="24"/>
        </w:rPr>
        <w:t>is not used in a sexual way in the book</w:t>
      </w:r>
      <w:r w:rsidR="00281DC0" w:rsidRPr="00754733">
        <w:rPr>
          <w:sz w:val="24"/>
          <w:szCs w:val="24"/>
        </w:rPr>
        <w:t xml:space="preserve"> nor is it emphasized</w:t>
      </w:r>
      <w:r w:rsidR="00875D1B" w:rsidRPr="00754733">
        <w:rPr>
          <w:sz w:val="24"/>
          <w:szCs w:val="24"/>
        </w:rPr>
        <w:t>.</w:t>
      </w:r>
      <w:r w:rsidR="001A5DC9" w:rsidRPr="00754733">
        <w:rPr>
          <w:sz w:val="24"/>
          <w:szCs w:val="24"/>
        </w:rPr>
        <w:t xml:space="preserve"> </w:t>
      </w:r>
      <w:r w:rsidR="00610274" w:rsidRPr="00754733">
        <w:rPr>
          <w:sz w:val="24"/>
          <w:szCs w:val="24"/>
        </w:rPr>
        <w:t xml:space="preserve">This article demonstrates that the use of correct terms can be helpful to children </w:t>
      </w:r>
      <w:r w:rsidR="00F731D3" w:rsidRPr="00754733">
        <w:rPr>
          <w:sz w:val="24"/>
          <w:szCs w:val="24"/>
        </w:rPr>
        <w:t>for prevention of sexual abuse, therefore</w:t>
      </w:r>
      <w:r w:rsidR="0030133A" w:rsidRPr="00754733">
        <w:rPr>
          <w:sz w:val="24"/>
          <w:szCs w:val="24"/>
        </w:rPr>
        <w:t>,</w:t>
      </w:r>
      <w:r w:rsidR="000B6CAE" w:rsidRPr="00754733">
        <w:rPr>
          <w:sz w:val="24"/>
          <w:szCs w:val="24"/>
        </w:rPr>
        <w:t xml:space="preserve"> making a case that</w:t>
      </w:r>
      <w:r w:rsidR="00F731D3" w:rsidRPr="00754733">
        <w:rPr>
          <w:sz w:val="24"/>
          <w:szCs w:val="24"/>
        </w:rPr>
        <w:t xml:space="preserve"> </w:t>
      </w:r>
      <w:r w:rsidR="00F731D3" w:rsidRPr="00754733">
        <w:rPr>
          <w:i/>
          <w:iCs/>
          <w:sz w:val="24"/>
          <w:szCs w:val="24"/>
        </w:rPr>
        <w:t>The Higher Power of Lucky</w:t>
      </w:r>
      <w:r w:rsidR="00F731D3" w:rsidRPr="00754733">
        <w:rPr>
          <w:sz w:val="24"/>
          <w:szCs w:val="24"/>
        </w:rPr>
        <w:t xml:space="preserve"> </w:t>
      </w:r>
      <w:r w:rsidR="00334B56" w:rsidRPr="00754733">
        <w:rPr>
          <w:sz w:val="24"/>
          <w:szCs w:val="24"/>
        </w:rPr>
        <w:t>should remain in the children’s department, not be moved</w:t>
      </w:r>
      <w:r w:rsidR="000A35E6">
        <w:rPr>
          <w:sz w:val="24"/>
          <w:szCs w:val="24"/>
        </w:rPr>
        <w:t xml:space="preserve"> to</w:t>
      </w:r>
      <w:r w:rsidR="00CF3FD1">
        <w:rPr>
          <w:sz w:val="24"/>
          <w:szCs w:val="24"/>
        </w:rPr>
        <w:t xml:space="preserve"> the young adult section</w:t>
      </w:r>
      <w:r w:rsidR="00334B56" w:rsidRPr="00754733">
        <w:rPr>
          <w:sz w:val="24"/>
          <w:szCs w:val="24"/>
        </w:rPr>
        <w:t xml:space="preserve"> for the use of a</w:t>
      </w:r>
      <w:r w:rsidR="00281DC0" w:rsidRPr="00754733">
        <w:rPr>
          <w:sz w:val="24"/>
          <w:szCs w:val="24"/>
        </w:rPr>
        <w:t xml:space="preserve"> proper word</w:t>
      </w:r>
      <w:r w:rsidR="00AF2A3B" w:rsidRPr="00754733">
        <w:rPr>
          <w:sz w:val="24"/>
          <w:szCs w:val="24"/>
        </w:rPr>
        <w:t>.</w:t>
      </w:r>
      <w:r w:rsidR="009D2418" w:rsidRPr="00754733">
        <w:rPr>
          <w:sz w:val="24"/>
          <w:szCs w:val="24"/>
        </w:rPr>
        <w:t xml:space="preserve"> T</w:t>
      </w:r>
      <w:r w:rsidR="00D13669" w:rsidRPr="00754733">
        <w:rPr>
          <w:sz w:val="24"/>
          <w:szCs w:val="24"/>
        </w:rPr>
        <w:t>he article backs up that t</w:t>
      </w:r>
      <w:r w:rsidR="009D2418" w:rsidRPr="00754733">
        <w:rPr>
          <w:sz w:val="24"/>
          <w:szCs w:val="24"/>
        </w:rPr>
        <w:t xml:space="preserve">he </w:t>
      </w:r>
      <w:r w:rsidR="003A4530" w:rsidRPr="00754733">
        <w:rPr>
          <w:sz w:val="24"/>
          <w:szCs w:val="24"/>
        </w:rPr>
        <w:t>matter-of-fact</w:t>
      </w:r>
      <w:r w:rsidR="009D2418" w:rsidRPr="00754733">
        <w:rPr>
          <w:sz w:val="24"/>
          <w:szCs w:val="24"/>
        </w:rPr>
        <w:t xml:space="preserve"> way </w:t>
      </w:r>
      <w:r w:rsidR="003A4530" w:rsidRPr="00754733">
        <w:rPr>
          <w:sz w:val="24"/>
          <w:szCs w:val="24"/>
        </w:rPr>
        <w:t xml:space="preserve">in which </w:t>
      </w:r>
      <w:r w:rsidR="009D2418" w:rsidRPr="00754733">
        <w:rPr>
          <w:sz w:val="24"/>
          <w:szCs w:val="24"/>
        </w:rPr>
        <w:t>the word is used in the book</w:t>
      </w:r>
      <w:r w:rsidR="009F5B19" w:rsidRPr="00754733">
        <w:rPr>
          <w:sz w:val="24"/>
          <w:szCs w:val="24"/>
        </w:rPr>
        <w:t xml:space="preserve"> </w:t>
      </w:r>
      <w:r w:rsidR="00D13669" w:rsidRPr="00754733">
        <w:rPr>
          <w:sz w:val="24"/>
          <w:szCs w:val="24"/>
        </w:rPr>
        <w:t>is a good way for children to see that</w:t>
      </w:r>
      <w:r w:rsidR="009F5B19" w:rsidRPr="00754733">
        <w:rPr>
          <w:sz w:val="24"/>
          <w:szCs w:val="24"/>
        </w:rPr>
        <w:t xml:space="preserve"> it</w:t>
      </w:r>
      <w:r w:rsidR="00D13669" w:rsidRPr="00754733">
        <w:rPr>
          <w:sz w:val="24"/>
          <w:szCs w:val="24"/>
        </w:rPr>
        <w:t xml:space="preserve"> is not a big deal, also making </w:t>
      </w:r>
      <w:r w:rsidR="009F5B19" w:rsidRPr="00754733">
        <w:rPr>
          <w:sz w:val="24"/>
          <w:szCs w:val="24"/>
        </w:rPr>
        <w:t xml:space="preserve">a </w:t>
      </w:r>
      <w:r w:rsidR="00DF167F" w:rsidRPr="00754733">
        <w:rPr>
          <w:sz w:val="24"/>
          <w:szCs w:val="24"/>
        </w:rPr>
        <w:t xml:space="preserve">case for </w:t>
      </w:r>
      <w:r w:rsidR="00152EEC" w:rsidRPr="00754733">
        <w:rPr>
          <w:sz w:val="24"/>
          <w:szCs w:val="24"/>
        </w:rPr>
        <w:t>not moving the book</w:t>
      </w:r>
      <w:r w:rsidR="00813D1D">
        <w:rPr>
          <w:sz w:val="24"/>
          <w:szCs w:val="24"/>
        </w:rPr>
        <w:t xml:space="preserve"> out of the children’s section</w:t>
      </w:r>
      <w:r w:rsidR="00DF167F" w:rsidRPr="00754733">
        <w:rPr>
          <w:sz w:val="24"/>
          <w:szCs w:val="24"/>
        </w:rPr>
        <w:t xml:space="preserve">. </w:t>
      </w:r>
      <w:r w:rsidR="009D2418" w:rsidRPr="00754733">
        <w:rPr>
          <w:sz w:val="24"/>
          <w:szCs w:val="24"/>
        </w:rPr>
        <w:t xml:space="preserve"> </w:t>
      </w:r>
    </w:p>
    <w:p w14:paraId="4C3D35B8" w14:textId="12477369" w:rsidR="00865C9B" w:rsidRPr="00754733" w:rsidRDefault="00865C9B" w:rsidP="00865C9B">
      <w:pPr>
        <w:spacing w:after="0" w:line="480" w:lineRule="auto"/>
        <w:ind w:left="720" w:hanging="720"/>
        <w:rPr>
          <w:sz w:val="24"/>
          <w:szCs w:val="24"/>
        </w:rPr>
      </w:pPr>
      <w:r w:rsidRPr="00754733">
        <w:rPr>
          <w:sz w:val="24"/>
          <w:szCs w:val="24"/>
        </w:rPr>
        <w:lastRenderedPageBreak/>
        <w:t xml:space="preserve">Ferguson, C. J. (2014). Is reading “banned” books associated with behavior problems in young readers? The influence of controversial young adult books on the psychological well-being of adolescents. </w:t>
      </w:r>
      <w:r w:rsidRPr="00754733">
        <w:rPr>
          <w:i/>
          <w:iCs/>
          <w:sz w:val="24"/>
          <w:szCs w:val="24"/>
        </w:rPr>
        <w:t>Psychology of Aesthetics, Creativity, and the Arts</w:t>
      </w:r>
      <w:r w:rsidRPr="00754733">
        <w:rPr>
          <w:sz w:val="24"/>
          <w:szCs w:val="24"/>
        </w:rPr>
        <w:t xml:space="preserve">, </w:t>
      </w:r>
      <w:r w:rsidRPr="00754733">
        <w:rPr>
          <w:i/>
          <w:iCs/>
          <w:sz w:val="24"/>
          <w:szCs w:val="24"/>
        </w:rPr>
        <w:t>8</w:t>
      </w:r>
      <w:r w:rsidRPr="00754733">
        <w:rPr>
          <w:sz w:val="24"/>
          <w:szCs w:val="24"/>
        </w:rPr>
        <w:t xml:space="preserve">(3), 354-362. </w:t>
      </w:r>
      <w:hyperlink r:id="rId28" w:history="1">
        <w:r w:rsidRPr="00754733">
          <w:rPr>
            <w:rStyle w:val="Hyperlink"/>
            <w:sz w:val="24"/>
            <w:szCs w:val="24"/>
          </w:rPr>
          <w:t>http://doi.org/10.1037/a0035601</w:t>
        </w:r>
      </w:hyperlink>
      <w:r w:rsidRPr="00754733">
        <w:rPr>
          <w:sz w:val="24"/>
          <w:szCs w:val="24"/>
        </w:rPr>
        <w:t xml:space="preserve"> </w:t>
      </w:r>
    </w:p>
    <w:p w14:paraId="12CB3E6A" w14:textId="7CCAEEFE" w:rsidR="00865C9B" w:rsidRPr="00754733" w:rsidRDefault="004F08C2" w:rsidP="00865C9B">
      <w:pPr>
        <w:spacing w:after="0" w:line="480" w:lineRule="auto"/>
        <w:ind w:left="720"/>
        <w:rPr>
          <w:sz w:val="24"/>
          <w:szCs w:val="24"/>
        </w:rPr>
      </w:pPr>
      <w:r w:rsidRPr="00754733">
        <w:rPr>
          <w:sz w:val="24"/>
          <w:szCs w:val="24"/>
        </w:rPr>
        <w:t>Ferguson did a study trying to determine if the reading of banned/controversial b</w:t>
      </w:r>
      <w:r w:rsidR="000C584E" w:rsidRPr="00754733">
        <w:rPr>
          <w:sz w:val="24"/>
          <w:szCs w:val="24"/>
        </w:rPr>
        <w:t>ooks</w:t>
      </w:r>
      <w:r w:rsidRPr="00754733">
        <w:rPr>
          <w:sz w:val="24"/>
          <w:szCs w:val="24"/>
        </w:rPr>
        <w:t xml:space="preserve"> de</w:t>
      </w:r>
      <w:r w:rsidR="007B6B66" w:rsidRPr="00754733">
        <w:rPr>
          <w:sz w:val="24"/>
          <w:szCs w:val="24"/>
        </w:rPr>
        <w:t xml:space="preserve">creased any civic behaviors, increased mental health issues and criminal </w:t>
      </w:r>
      <w:r w:rsidR="006269DB" w:rsidRPr="00754733">
        <w:rPr>
          <w:sz w:val="24"/>
          <w:szCs w:val="24"/>
        </w:rPr>
        <w:t>behaviors,</w:t>
      </w:r>
      <w:r w:rsidR="007B6B66" w:rsidRPr="00754733">
        <w:rPr>
          <w:sz w:val="24"/>
          <w:szCs w:val="24"/>
        </w:rPr>
        <w:t xml:space="preserve"> and decreased academic performance. </w:t>
      </w:r>
      <w:r w:rsidR="00631E7A" w:rsidRPr="00754733">
        <w:rPr>
          <w:sz w:val="24"/>
          <w:szCs w:val="24"/>
        </w:rPr>
        <w:t xml:space="preserve">Youth were asked if they had read </w:t>
      </w:r>
      <w:r w:rsidR="006269DB" w:rsidRPr="00754733">
        <w:rPr>
          <w:sz w:val="24"/>
          <w:szCs w:val="24"/>
        </w:rPr>
        <w:t xml:space="preserve">30 </w:t>
      </w:r>
      <w:r w:rsidR="00631E7A" w:rsidRPr="00754733">
        <w:rPr>
          <w:sz w:val="24"/>
          <w:szCs w:val="24"/>
        </w:rPr>
        <w:t xml:space="preserve">books </w:t>
      </w:r>
      <w:r w:rsidR="004B362E" w:rsidRPr="00754733">
        <w:rPr>
          <w:sz w:val="24"/>
          <w:szCs w:val="24"/>
        </w:rPr>
        <w:t>on the A</w:t>
      </w:r>
      <w:r w:rsidR="007F11F1" w:rsidRPr="00754733">
        <w:rPr>
          <w:sz w:val="24"/>
          <w:szCs w:val="24"/>
        </w:rPr>
        <w:t xml:space="preserve">merican </w:t>
      </w:r>
      <w:r w:rsidR="004B362E" w:rsidRPr="00754733">
        <w:rPr>
          <w:sz w:val="24"/>
          <w:szCs w:val="24"/>
        </w:rPr>
        <w:t>L</w:t>
      </w:r>
      <w:r w:rsidR="007F11F1" w:rsidRPr="00754733">
        <w:rPr>
          <w:sz w:val="24"/>
          <w:szCs w:val="24"/>
        </w:rPr>
        <w:t xml:space="preserve">ibrary </w:t>
      </w:r>
      <w:r w:rsidR="004B362E" w:rsidRPr="00754733">
        <w:rPr>
          <w:sz w:val="24"/>
          <w:szCs w:val="24"/>
        </w:rPr>
        <w:t>A</w:t>
      </w:r>
      <w:r w:rsidR="007F11F1" w:rsidRPr="00754733">
        <w:rPr>
          <w:sz w:val="24"/>
          <w:szCs w:val="24"/>
        </w:rPr>
        <w:t>ssociation</w:t>
      </w:r>
      <w:r w:rsidR="004B362E" w:rsidRPr="00754733">
        <w:rPr>
          <w:sz w:val="24"/>
          <w:szCs w:val="24"/>
        </w:rPr>
        <w:t xml:space="preserve">’s commonly challenged </w:t>
      </w:r>
      <w:r w:rsidR="006B4FFA" w:rsidRPr="00754733">
        <w:rPr>
          <w:sz w:val="24"/>
          <w:szCs w:val="24"/>
        </w:rPr>
        <w:t xml:space="preserve">book </w:t>
      </w:r>
      <w:r w:rsidR="008E7F2D" w:rsidRPr="00754733">
        <w:rPr>
          <w:sz w:val="24"/>
          <w:szCs w:val="24"/>
        </w:rPr>
        <w:t xml:space="preserve">list from the last decade. </w:t>
      </w:r>
      <w:r w:rsidR="006269DB" w:rsidRPr="00754733">
        <w:rPr>
          <w:sz w:val="24"/>
          <w:szCs w:val="24"/>
        </w:rPr>
        <w:t>Measures were then taken by the youth and their caregivers to a</w:t>
      </w:r>
      <w:r w:rsidR="00A233AA">
        <w:rPr>
          <w:sz w:val="24"/>
          <w:szCs w:val="24"/>
        </w:rPr>
        <w:t>ssess</w:t>
      </w:r>
      <w:r w:rsidR="006269DB" w:rsidRPr="00754733">
        <w:rPr>
          <w:sz w:val="24"/>
          <w:szCs w:val="24"/>
        </w:rPr>
        <w:t xml:space="preserve"> </w:t>
      </w:r>
      <w:r w:rsidR="00614A6E" w:rsidRPr="00754733">
        <w:rPr>
          <w:sz w:val="24"/>
          <w:szCs w:val="24"/>
        </w:rPr>
        <w:t xml:space="preserve">their behaviors, mood, and </w:t>
      </w:r>
      <w:r w:rsidR="00EC14F0" w:rsidRPr="00754733">
        <w:rPr>
          <w:sz w:val="24"/>
          <w:szCs w:val="24"/>
        </w:rPr>
        <w:t>civic mindedness along with grade point average</w:t>
      </w:r>
      <w:r w:rsidR="00614A6E" w:rsidRPr="00754733">
        <w:rPr>
          <w:sz w:val="24"/>
          <w:szCs w:val="24"/>
        </w:rPr>
        <w:t>.</w:t>
      </w:r>
      <w:r w:rsidR="00EC14F0" w:rsidRPr="00754733">
        <w:rPr>
          <w:sz w:val="24"/>
          <w:szCs w:val="24"/>
        </w:rPr>
        <w:t xml:space="preserve"> </w:t>
      </w:r>
      <w:r w:rsidR="006B4FFA" w:rsidRPr="00754733">
        <w:rPr>
          <w:sz w:val="24"/>
          <w:szCs w:val="24"/>
        </w:rPr>
        <w:t xml:space="preserve">Grade point average </w:t>
      </w:r>
      <w:r w:rsidR="008E5324" w:rsidRPr="00754733">
        <w:rPr>
          <w:sz w:val="24"/>
          <w:szCs w:val="24"/>
        </w:rPr>
        <w:t xml:space="preserve">did not seem to be affected by reading banned </w:t>
      </w:r>
      <w:r w:rsidR="00526D77" w:rsidRPr="00754733">
        <w:rPr>
          <w:sz w:val="24"/>
          <w:szCs w:val="24"/>
        </w:rPr>
        <w:t>books,</w:t>
      </w:r>
      <w:r w:rsidR="008E5324" w:rsidRPr="00754733">
        <w:rPr>
          <w:sz w:val="24"/>
          <w:szCs w:val="24"/>
        </w:rPr>
        <w:t xml:space="preserve"> but mental health symptoms did seem to be </w:t>
      </w:r>
      <w:r w:rsidR="00526D77" w:rsidRPr="00754733">
        <w:rPr>
          <w:sz w:val="24"/>
          <w:szCs w:val="24"/>
        </w:rPr>
        <w:t xml:space="preserve">possibly increased. </w:t>
      </w:r>
      <w:r w:rsidR="00EC14F0" w:rsidRPr="00754733">
        <w:rPr>
          <w:sz w:val="24"/>
          <w:szCs w:val="24"/>
        </w:rPr>
        <w:t xml:space="preserve">The study found that reading controversial books </w:t>
      </w:r>
      <w:r w:rsidR="00095930" w:rsidRPr="00754733">
        <w:rPr>
          <w:sz w:val="24"/>
          <w:szCs w:val="24"/>
        </w:rPr>
        <w:t>was related to higher rates of interest in politics</w:t>
      </w:r>
      <w:r w:rsidR="00F077BC" w:rsidRPr="00754733">
        <w:rPr>
          <w:sz w:val="24"/>
          <w:szCs w:val="24"/>
        </w:rPr>
        <w:t xml:space="preserve">, </w:t>
      </w:r>
      <w:r w:rsidR="00095930" w:rsidRPr="00754733">
        <w:rPr>
          <w:sz w:val="24"/>
          <w:szCs w:val="24"/>
        </w:rPr>
        <w:t>elections</w:t>
      </w:r>
      <w:r w:rsidR="00F077BC" w:rsidRPr="00754733">
        <w:rPr>
          <w:sz w:val="24"/>
          <w:szCs w:val="24"/>
        </w:rPr>
        <w:t>,</w:t>
      </w:r>
      <w:r w:rsidR="00095930" w:rsidRPr="00754733">
        <w:rPr>
          <w:sz w:val="24"/>
          <w:szCs w:val="24"/>
        </w:rPr>
        <w:t xml:space="preserve"> and </w:t>
      </w:r>
      <w:r w:rsidR="00694607" w:rsidRPr="00754733">
        <w:rPr>
          <w:sz w:val="24"/>
          <w:szCs w:val="24"/>
        </w:rPr>
        <w:t>charitable cause involvement.</w:t>
      </w:r>
      <w:r w:rsidR="00FD2639" w:rsidRPr="00754733">
        <w:rPr>
          <w:sz w:val="24"/>
          <w:szCs w:val="24"/>
        </w:rPr>
        <w:t xml:space="preserve"> Therefore, civic mindedness was </w:t>
      </w:r>
      <w:r w:rsidR="006B4FFA" w:rsidRPr="00754733">
        <w:rPr>
          <w:sz w:val="24"/>
          <w:szCs w:val="24"/>
        </w:rPr>
        <w:t>raised</w:t>
      </w:r>
      <w:r w:rsidR="00FD2639" w:rsidRPr="00754733">
        <w:rPr>
          <w:sz w:val="24"/>
          <w:szCs w:val="24"/>
        </w:rPr>
        <w:t>.</w:t>
      </w:r>
      <w:r w:rsidR="00694607" w:rsidRPr="00754733">
        <w:rPr>
          <w:sz w:val="24"/>
          <w:szCs w:val="24"/>
        </w:rPr>
        <w:t xml:space="preserve"> </w:t>
      </w:r>
      <w:r w:rsidR="00BA4CFB" w:rsidRPr="00754733">
        <w:rPr>
          <w:sz w:val="24"/>
          <w:szCs w:val="24"/>
        </w:rPr>
        <w:t xml:space="preserve">Neither violent </w:t>
      </w:r>
      <w:r w:rsidR="002C560E" w:rsidRPr="00754733">
        <w:rPr>
          <w:sz w:val="24"/>
          <w:szCs w:val="24"/>
        </w:rPr>
        <w:t>n</w:t>
      </w:r>
      <w:r w:rsidR="00BA4CFB" w:rsidRPr="00754733">
        <w:rPr>
          <w:sz w:val="24"/>
          <w:szCs w:val="24"/>
        </w:rPr>
        <w:t>or non-violent c</w:t>
      </w:r>
      <w:r w:rsidR="00694607" w:rsidRPr="00754733">
        <w:rPr>
          <w:sz w:val="24"/>
          <w:szCs w:val="24"/>
        </w:rPr>
        <w:t>riminality was increased by the reading of banned books</w:t>
      </w:r>
      <w:r w:rsidR="005F6291" w:rsidRPr="00754733">
        <w:rPr>
          <w:sz w:val="24"/>
          <w:szCs w:val="24"/>
        </w:rPr>
        <w:t>. Th</w:t>
      </w:r>
      <w:r w:rsidR="00526D77" w:rsidRPr="00754733">
        <w:rPr>
          <w:sz w:val="24"/>
          <w:szCs w:val="24"/>
        </w:rPr>
        <w:t xml:space="preserve">ese </w:t>
      </w:r>
      <w:r w:rsidR="002538B3">
        <w:rPr>
          <w:sz w:val="24"/>
          <w:szCs w:val="24"/>
        </w:rPr>
        <w:t>three</w:t>
      </w:r>
      <w:r w:rsidR="00526D77" w:rsidRPr="00754733">
        <w:rPr>
          <w:sz w:val="24"/>
          <w:szCs w:val="24"/>
        </w:rPr>
        <w:t xml:space="preserve"> outcomes</w:t>
      </w:r>
      <w:r w:rsidR="005F6291" w:rsidRPr="00754733">
        <w:rPr>
          <w:sz w:val="24"/>
          <w:szCs w:val="24"/>
        </w:rPr>
        <w:t xml:space="preserve"> w</w:t>
      </w:r>
      <w:r w:rsidR="00526D77" w:rsidRPr="00754733">
        <w:rPr>
          <w:sz w:val="24"/>
          <w:szCs w:val="24"/>
        </w:rPr>
        <w:t>ere</w:t>
      </w:r>
      <w:r w:rsidR="005F6291" w:rsidRPr="00754733">
        <w:rPr>
          <w:sz w:val="24"/>
          <w:szCs w:val="24"/>
        </w:rPr>
        <w:t xml:space="preserve"> cited in the notes </w:t>
      </w:r>
      <w:r w:rsidR="0072539E" w:rsidRPr="00754733">
        <w:rPr>
          <w:sz w:val="24"/>
          <w:szCs w:val="24"/>
        </w:rPr>
        <w:t xml:space="preserve">to show that reading </w:t>
      </w:r>
      <w:r w:rsidR="0086602D" w:rsidRPr="00754733">
        <w:rPr>
          <w:i/>
          <w:iCs/>
          <w:sz w:val="24"/>
          <w:szCs w:val="24"/>
        </w:rPr>
        <w:t>T</w:t>
      </w:r>
      <w:r w:rsidR="0072539E" w:rsidRPr="00754733">
        <w:rPr>
          <w:i/>
          <w:iCs/>
          <w:sz w:val="24"/>
          <w:szCs w:val="24"/>
        </w:rPr>
        <w:t>he Higher Power of Lucky</w:t>
      </w:r>
      <w:r w:rsidR="00AA0684" w:rsidRPr="00754733">
        <w:rPr>
          <w:sz w:val="24"/>
          <w:szCs w:val="24"/>
        </w:rPr>
        <w:t>,</w:t>
      </w:r>
      <w:r w:rsidR="0072539E" w:rsidRPr="00754733">
        <w:rPr>
          <w:sz w:val="24"/>
          <w:szCs w:val="24"/>
        </w:rPr>
        <w:t xml:space="preserve"> despite its controversial use of the word scrotum</w:t>
      </w:r>
      <w:r w:rsidR="00AA0684" w:rsidRPr="00754733">
        <w:rPr>
          <w:sz w:val="24"/>
          <w:szCs w:val="24"/>
        </w:rPr>
        <w:t>,</w:t>
      </w:r>
      <w:r w:rsidR="0072539E" w:rsidRPr="00754733">
        <w:rPr>
          <w:sz w:val="24"/>
          <w:szCs w:val="24"/>
        </w:rPr>
        <w:t xml:space="preserve"> </w:t>
      </w:r>
      <w:r w:rsidR="002C560E" w:rsidRPr="00754733">
        <w:rPr>
          <w:sz w:val="24"/>
          <w:szCs w:val="24"/>
        </w:rPr>
        <w:t>would not harm children</w:t>
      </w:r>
      <w:r w:rsidR="00AA0684" w:rsidRPr="00754733">
        <w:rPr>
          <w:sz w:val="24"/>
          <w:szCs w:val="24"/>
        </w:rPr>
        <w:t xml:space="preserve">. It was also used in the </w:t>
      </w:r>
      <w:r w:rsidR="001427CF" w:rsidRPr="00754733">
        <w:rPr>
          <w:sz w:val="24"/>
          <w:szCs w:val="24"/>
        </w:rPr>
        <w:t>notes</w:t>
      </w:r>
      <w:r w:rsidR="00AA0684" w:rsidRPr="00754733">
        <w:rPr>
          <w:sz w:val="24"/>
          <w:szCs w:val="24"/>
        </w:rPr>
        <w:t xml:space="preserve"> </w:t>
      </w:r>
      <w:r w:rsidR="00A233AA">
        <w:rPr>
          <w:sz w:val="24"/>
          <w:szCs w:val="24"/>
        </w:rPr>
        <w:t xml:space="preserve">to point out </w:t>
      </w:r>
      <w:r w:rsidR="00AA0684" w:rsidRPr="00754733">
        <w:rPr>
          <w:sz w:val="24"/>
          <w:szCs w:val="24"/>
        </w:rPr>
        <w:t xml:space="preserve">that there might be some benefit to reading a book that had </w:t>
      </w:r>
      <w:r w:rsidR="009B6702" w:rsidRPr="00754733">
        <w:rPr>
          <w:sz w:val="24"/>
          <w:szCs w:val="24"/>
        </w:rPr>
        <w:t>controversial issues raised about it</w:t>
      </w:r>
      <w:r w:rsidR="002538B3">
        <w:rPr>
          <w:sz w:val="24"/>
          <w:szCs w:val="24"/>
        </w:rPr>
        <w:t xml:space="preserve"> with</w:t>
      </w:r>
      <w:r w:rsidR="004A3076" w:rsidRPr="00754733">
        <w:rPr>
          <w:sz w:val="24"/>
          <w:szCs w:val="24"/>
        </w:rPr>
        <w:t xml:space="preserve"> the increase of civic action</w:t>
      </w:r>
      <w:r w:rsidR="002C560E" w:rsidRPr="00754733">
        <w:rPr>
          <w:sz w:val="24"/>
          <w:szCs w:val="24"/>
        </w:rPr>
        <w:t>.</w:t>
      </w:r>
      <w:r w:rsidR="009B6702" w:rsidRPr="00754733">
        <w:rPr>
          <w:sz w:val="24"/>
          <w:szCs w:val="24"/>
        </w:rPr>
        <w:t xml:space="preserve"> </w:t>
      </w:r>
      <w:r w:rsidR="00533F54" w:rsidRPr="00754733">
        <w:rPr>
          <w:sz w:val="24"/>
          <w:szCs w:val="24"/>
        </w:rPr>
        <w:t>Also, this was cited</w:t>
      </w:r>
      <w:r w:rsidR="009B6702" w:rsidRPr="00754733">
        <w:rPr>
          <w:sz w:val="24"/>
          <w:szCs w:val="24"/>
        </w:rPr>
        <w:t xml:space="preserve"> to make the case for keeping the book in the children’s section as it would not seem to be harmful to children to read banned/controversial books. </w:t>
      </w:r>
      <w:r w:rsidR="002C560E" w:rsidRPr="00754733">
        <w:rPr>
          <w:sz w:val="24"/>
          <w:szCs w:val="24"/>
        </w:rPr>
        <w:t xml:space="preserve"> </w:t>
      </w:r>
    </w:p>
    <w:p w14:paraId="30BCABBE" w14:textId="6D7F5FC3" w:rsidR="000D2292" w:rsidRPr="00754733" w:rsidRDefault="000D2292" w:rsidP="000D2292">
      <w:pPr>
        <w:spacing w:after="0" w:line="480" w:lineRule="auto"/>
        <w:ind w:left="720" w:hanging="720"/>
        <w:rPr>
          <w:sz w:val="24"/>
          <w:szCs w:val="24"/>
        </w:rPr>
      </w:pPr>
      <w:r w:rsidRPr="00754733">
        <w:rPr>
          <w:sz w:val="24"/>
          <w:szCs w:val="24"/>
          <w:shd w:val="clear" w:color="auto" w:fill="FFFFFF"/>
        </w:rPr>
        <w:lastRenderedPageBreak/>
        <w:t>Hartsfield, D. E.</w:t>
      </w:r>
      <w:r>
        <w:rPr>
          <w:sz w:val="24"/>
          <w:szCs w:val="24"/>
          <w:shd w:val="clear" w:color="auto" w:fill="FFFFFF"/>
        </w:rPr>
        <w:t xml:space="preserve"> </w:t>
      </w:r>
      <w:r w:rsidR="0071257D">
        <w:rPr>
          <w:sz w:val="24"/>
          <w:szCs w:val="24"/>
          <w:shd w:val="clear" w:color="auto" w:fill="FFFFFF"/>
        </w:rPr>
        <w:t>&amp;</w:t>
      </w:r>
      <w:r w:rsidR="00E56717">
        <w:rPr>
          <w:sz w:val="24"/>
          <w:szCs w:val="24"/>
          <w:shd w:val="clear" w:color="auto" w:fill="FFFFFF"/>
        </w:rPr>
        <w:t xml:space="preserve"> Kimmel, S.</w:t>
      </w:r>
      <w:r w:rsidR="0071257D">
        <w:rPr>
          <w:sz w:val="24"/>
          <w:szCs w:val="24"/>
          <w:shd w:val="clear" w:color="auto" w:fill="FFFFFF"/>
        </w:rPr>
        <w:t xml:space="preserve"> </w:t>
      </w:r>
      <w:r w:rsidR="00E56717">
        <w:rPr>
          <w:sz w:val="24"/>
          <w:szCs w:val="24"/>
          <w:shd w:val="clear" w:color="auto" w:fill="FFFFFF"/>
        </w:rPr>
        <w:t>C.</w:t>
      </w:r>
      <w:r w:rsidRPr="00754733">
        <w:rPr>
          <w:sz w:val="24"/>
          <w:szCs w:val="24"/>
          <w:shd w:val="clear" w:color="auto" w:fill="FFFFFF"/>
        </w:rPr>
        <w:t xml:space="preserve"> (2019). “It was…the word ‘scrotum’ on the first page”: Educators’ perspectives of controversial literature. </w:t>
      </w:r>
      <w:r w:rsidRPr="00754733">
        <w:rPr>
          <w:i/>
          <w:iCs/>
          <w:sz w:val="24"/>
          <w:szCs w:val="24"/>
          <w:shd w:val="clear" w:color="auto" w:fill="FFFFFF"/>
        </w:rPr>
        <w:t>Journal of Teacher Education</w:t>
      </w:r>
      <w:r w:rsidRPr="00754733">
        <w:rPr>
          <w:sz w:val="24"/>
          <w:szCs w:val="24"/>
          <w:shd w:val="clear" w:color="auto" w:fill="FFFFFF"/>
        </w:rPr>
        <w:t>,</w:t>
      </w:r>
      <w:r w:rsidRPr="00754733">
        <w:rPr>
          <w:i/>
          <w:iCs/>
          <w:sz w:val="24"/>
          <w:szCs w:val="24"/>
          <w:shd w:val="clear" w:color="auto" w:fill="FFFFFF"/>
        </w:rPr>
        <w:t xml:space="preserve"> 70</w:t>
      </w:r>
      <w:r w:rsidRPr="00754733">
        <w:rPr>
          <w:sz w:val="24"/>
          <w:szCs w:val="24"/>
          <w:shd w:val="clear" w:color="auto" w:fill="FFFFFF"/>
        </w:rPr>
        <w:t xml:space="preserve">(1), 335-346. </w:t>
      </w:r>
      <w:hyperlink r:id="rId29" w:history="1">
        <w:r w:rsidRPr="00754733">
          <w:rPr>
            <w:rStyle w:val="Hyperlink"/>
            <w:sz w:val="24"/>
            <w:szCs w:val="24"/>
            <w:shd w:val="clear" w:color="auto" w:fill="FFFFFF"/>
          </w:rPr>
          <w:t>https://doi.org</w:t>
        </w:r>
        <w:r w:rsidRPr="00754733">
          <w:rPr>
            <w:rStyle w:val="Hyperlink"/>
            <w:sz w:val="24"/>
            <w:szCs w:val="24"/>
          </w:rPr>
          <w:t>/10.1177/0022487117751126</w:t>
        </w:r>
      </w:hyperlink>
    </w:p>
    <w:p w14:paraId="51156499" w14:textId="72D86D8D" w:rsidR="000D2292" w:rsidRPr="00754733" w:rsidRDefault="000D2292" w:rsidP="000D2292">
      <w:pPr>
        <w:spacing w:after="0" w:line="480" w:lineRule="auto"/>
        <w:ind w:left="720"/>
        <w:rPr>
          <w:sz w:val="24"/>
          <w:szCs w:val="24"/>
        </w:rPr>
      </w:pPr>
      <w:r w:rsidRPr="00754733">
        <w:rPr>
          <w:sz w:val="24"/>
          <w:szCs w:val="24"/>
        </w:rPr>
        <w:t xml:space="preserve">Kimmel and Hartsfield did a study on graduate students who were pre-service teachers and pre-service librarians. These students had read </w:t>
      </w:r>
      <w:r w:rsidRPr="00754733">
        <w:rPr>
          <w:i/>
          <w:iCs/>
          <w:sz w:val="24"/>
          <w:szCs w:val="24"/>
        </w:rPr>
        <w:t xml:space="preserve">The Higher Power of Lucky </w:t>
      </w:r>
      <w:r w:rsidRPr="00754733">
        <w:rPr>
          <w:sz w:val="24"/>
          <w:szCs w:val="24"/>
        </w:rPr>
        <w:t>in a class and had discussions about the book. The researchers read the discussions and drew some conclusions about their reactions to the book and the use of the word scrotum among other topics. Most of the students did react unfavorably to the use of scrotum. But at least one student found the word was proper and was glad slang had not been used. This was used in the notes because the author could have used slang or used it in a sexual way, but that is not the way it was used. It was written in context, not emphasized, and was used correctly. Another student pointed out the word scrotum is not a bad word, it is just a word, which was used in the notes to show scrotum is not a word to be avoided. Another point put in the notes was that at least one graduate student felt that older elementary school students could benefit from the vocabulary that could be built by discussing the word</w:t>
      </w:r>
      <w:r>
        <w:rPr>
          <w:sz w:val="24"/>
          <w:szCs w:val="24"/>
        </w:rPr>
        <w:t xml:space="preserve"> scrotum</w:t>
      </w:r>
      <w:r w:rsidRPr="00754733">
        <w:rPr>
          <w:sz w:val="24"/>
          <w:szCs w:val="24"/>
        </w:rPr>
        <w:t xml:space="preserve">. This backs up the </w:t>
      </w:r>
      <w:r w:rsidR="0084394B">
        <w:rPr>
          <w:sz w:val="24"/>
          <w:szCs w:val="24"/>
        </w:rPr>
        <w:t xml:space="preserve">older elementary school </w:t>
      </w:r>
      <w:r w:rsidRPr="00754733">
        <w:rPr>
          <w:sz w:val="24"/>
          <w:szCs w:val="24"/>
        </w:rPr>
        <w:t xml:space="preserve">reading levels suggested for the book and appropriateness of the word in the context it was used. This presented the position the book should </w:t>
      </w:r>
      <w:r w:rsidR="00B92D80">
        <w:rPr>
          <w:sz w:val="24"/>
          <w:szCs w:val="24"/>
        </w:rPr>
        <w:t xml:space="preserve">not be moved to young adult </w:t>
      </w:r>
      <w:r w:rsidR="000D2346">
        <w:rPr>
          <w:sz w:val="24"/>
          <w:szCs w:val="24"/>
        </w:rPr>
        <w:t xml:space="preserve">section </w:t>
      </w:r>
      <w:r w:rsidR="00B92D80">
        <w:rPr>
          <w:sz w:val="24"/>
          <w:szCs w:val="24"/>
        </w:rPr>
        <w:t>and should stay in the children’s section in the Tween area for older elementary school students</w:t>
      </w:r>
      <w:r w:rsidRPr="00754733">
        <w:rPr>
          <w:sz w:val="24"/>
          <w:szCs w:val="24"/>
        </w:rPr>
        <w:t xml:space="preserve">. </w:t>
      </w:r>
    </w:p>
    <w:p w14:paraId="37EEC301" w14:textId="0F02A6A6" w:rsidR="00507CCC" w:rsidRPr="00754733" w:rsidRDefault="00507CCC" w:rsidP="00507CCC">
      <w:pPr>
        <w:spacing w:after="0" w:line="480" w:lineRule="auto"/>
        <w:ind w:left="720" w:hanging="720"/>
        <w:rPr>
          <w:color w:val="595959"/>
          <w:sz w:val="24"/>
          <w:szCs w:val="24"/>
        </w:rPr>
      </w:pPr>
      <w:r w:rsidRPr="00754733">
        <w:rPr>
          <w:sz w:val="24"/>
          <w:szCs w:val="24"/>
        </w:rPr>
        <w:t>Har</w:t>
      </w:r>
      <w:r w:rsidR="00EC16B3" w:rsidRPr="00754733">
        <w:rPr>
          <w:sz w:val="24"/>
          <w:szCs w:val="24"/>
        </w:rPr>
        <w:t>t</w:t>
      </w:r>
      <w:r w:rsidRPr="00754733">
        <w:rPr>
          <w:sz w:val="24"/>
          <w:szCs w:val="24"/>
        </w:rPr>
        <w:t xml:space="preserve">sfield, D. E. &amp; Kimmel, S. C. (2020, July). “Please let this be the crassest thing my child reads!”: Exploring community perceptions of challenged children’s literature. </w:t>
      </w:r>
      <w:r w:rsidRPr="00754733">
        <w:rPr>
          <w:i/>
          <w:iCs/>
          <w:sz w:val="24"/>
          <w:szCs w:val="24"/>
        </w:rPr>
        <w:lastRenderedPageBreak/>
        <w:t>Reading Psychology</w:t>
      </w:r>
      <w:r w:rsidRPr="00754733">
        <w:rPr>
          <w:sz w:val="24"/>
          <w:szCs w:val="24"/>
        </w:rPr>
        <w:t xml:space="preserve">, </w:t>
      </w:r>
      <w:r w:rsidRPr="00754733">
        <w:rPr>
          <w:i/>
          <w:iCs/>
          <w:sz w:val="24"/>
          <w:szCs w:val="24"/>
        </w:rPr>
        <w:t>41</w:t>
      </w:r>
      <w:r w:rsidRPr="00754733">
        <w:rPr>
          <w:sz w:val="24"/>
          <w:szCs w:val="24"/>
        </w:rPr>
        <w:t xml:space="preserve">(5), 369-402. </w:t>
      </w:r>
      <w:hyperlink r:id="rId30" w:history="1">
        <w:r w:rsidRPr="00754733">
          <w:rPr>
            <w:rStyle w:val="Hyperlink"/>
            <w:sz w:val="24"/>
            <w:szCs w:val="24"/>
          </w:rPr>
          <w:t>https://doi.org/10.1080/02702711.2020.1768983</w:t>
        </w:r>
      </w:hyperlink>
      <w:r w:rsidRPr="00754733">
        <w:rPr>
          <w:color w:val="595959"/>
          <w:sz w:val="24"/>
          <w:szCs w:val="24"/>
        </w:rPr>
        <w:t xml:space="preserve"> </w:t>
      </w:r>
    </w:p>
    <w:p w14:paraId="2997821E" w14:textId="6E070E5E" w:rsidR="001D0A9C" w:rsidRPr="00754733" w:rsidRDefault="001D0A9C" w:rsidP="001D0A9C">
      <w:pPr>
        <w:spacing w:after="0" w:line="480" w:lineRule="auto"/>
        <w:ind w:left="720"/>
        <w:rPr>
          <w:color w:val="000000" w:themeColor="text1"/>
          <w:sz w:val="24"/>
          <w:szCs w:val="24"/>
        </w:rPr>
      </w:pPr>
      <w:r w:rsidRPr="00754733">
        <w:rPr>
          <w:color w:val="000000" w:themeColor="text1"/>
          <w:sz w:val="24"/>
          <w:szCs w:val="24"/>
        </w:rPr>
        <w:t>Har</w:t>
      </w:r>
      <w:r w:rsidR="00EC16B3" w:rsidRPr="00754733">
        <w:rPr>
          <w:color w:val="000000" w:themeColor="text1"/>
          <w:sz w:val="24"/>
          <w:szCs w:val="24"/>
        </w:rPr>
        <w:t>t</w:t>
      </w:r>
      <w:r w:rsidRPr="00754733">
        <w:rPr>
          <w:color w:val="000000" w:themeColor="text1"/>
          <w:sz w:val="24"/>
          <w:szCs w:val="24"/>
        </w:rPr>
        <w:t xml:space="preserve">sfield and Kimmel </w:t>
      </w:r>
      <w:r w:rsidR="007F414E" w:rsidRPr="00754733">
        <w:rPr>
          <w:color w:val="000000" w:themeColor="text1"/>
          <w:sz w:val="24"/>
          <w:szCs w:val="24"/>
        </w:rPr>
        <w:t xml:space="preserve">conducted </w:t>
      </w:r>
      <w:r w:rsidR="00A025F7" w:rsidRPr="00754733">
        <w:rPr>
          <w:color w:val="000000" w:themeColor="text1"/>
          <w:sz w:val="24"/>
          <w:szCs w:val="24"/>
        </w:rPr>
        <w:t xml:space="preserve">a study where they </w:t>
      </w:r>
      <w:r w:rsidR="00705B65" w:rsidRPr="00754733">
        <w:rPr>
          <w:color w:val="000000" w:themeColor="text1"/>
          <w:sz w:val="24"/>
          <w:szCs w:val="24"/>
        </w:rPr>
        <w:t>organized a book club with a group of adults</w:t>
      </w:r>
      <w:r w:rsidR="00FE00EF" w:rsidRPr="00754733">
        <w:rPr>
          <w:color w:val="000000" w:themeColor="text1"/>
          <w:sz w:val="24"/>
          <w:szCs w:val="24"/>
        </w:rPr>
        <w:t xml:space="preserve">, had them read a challenged </w:t>
      </w:r>
      <w:r w:rsidR="00772B8D" w:rsidRPr="00754733">
        <w:rPr>
          <w:color w:val="000000" w:themeColor="text1"/>
          <w:sz w:val="24"/>
          <w:szCs w:val="24"/>
        </w:rPr>
        <w:t xml:space="preserve">children’s </w:t>
      </w:r>
      <w:r w:rsidR="00FE00EF" w:rsidRPr="00754733">
        <w:rPr>
          <w:color w:val="000000" w:themeColor="text1"/>
          <w:sz w:val="24"/>
          <w:szCs w:val="24"/>
        </w:rPr>
        <w:t>book, and go</w:t>
      </w:r>
      <w:r w:rsidR="000C1B94" w:rsidRPr="00754733">
        <w:rPr>
          <w:color w:val="000000" w:themeColor="text1"/>
          <w:sz w:val="24"/>
          <w:szCs w:val="24"/>
        </w:rPr>
        <w:t>t</w:t>
      </w:r>
      <w:r w:rsidR="00FE00EF" w:rsidRPr="00754733">
        <w:rPr>
          <w:color w:val="000000" w:themeColor="text1"/>
          <w:sz w:val="24"/>
          <w:szCs w:val="24"/>
        </w:rPr>
        <w:t xml:space="preserve"> together to discuss the book. </w:t>
      </w:r>
      <w:r w:rsidR="007F414E" w:rsidRPr="00754733">
        <w:rPr>
          <w:color w:val="000000" w:themeColor="text1"/>
          <w:sz w:val="24"/>
          <w:szCs w:val="24"/>
        </w:rPr>
        <w:t xml:space="preserve"> </w:t>
      </w:r>
      <w:r w:rsidR="000C1B94" w:rsidRPr="00754733">
        <w:rPr>
          <w:color w:val="000000" w:themeColor="text1"/>
          <w:sz w:val="24"/>
          <w:szCs w:val="24"/>
        </w:rPr>
        <w:t xml:space="preserve">They wanted to investigate adults’ beliefs about challenged children’s books. </w:t>
      </w:r>
      <w:r w:rsidR="00936C93" w:rsidRPr="00754733">
        <w:rPr>
          <w:color w:val="000000" w:themeColor="text1"/>
          <w:sz w:val="24"/>
          <w:szCs w:val="24"/>
        </w:rPr>
        <w:t xml:space="preserve">One of the books read was </w:t>
      </w:r>
      <w:r w:rsidR="00936C93" w:rsidRPr="00754733">
        <w:rPr>
          <w:i/>
          <w:iCs/>
          <w:color w:val="000000" w:themeColor="text1"/>
          <w:sz w:val="24"/>
          <w:szCs w:val="24"/>
        </w:rPr>
        <w:t>The Higher Power of Lucky.</w:t>
      </w:r>
      <w:r w:rsidR="00936C93" w:rsidRPr="00754733">
        <w:rPr>
          <w:color w:val="000000" w:themeColor="text1"/>
          <w:sz w:val="24"/>
          <w:szCs w:val="24"/>
        </w:rPr>
        <w:t xml:space="preserve"> They found that while </w:t>
      </w:r>
      <w:r w:rsidR="00104486" w:rsidRPr="00754733">
        <w:rPr>
          <w:color w:val="000000" w:themeColor="text1"/>
          <w:sz w:val="24"/>
          <w:szCs w:val="24"/>
        </w:rPr>
        <w:t>the participants could name why a book might be challenged</w:t>
      </w:r>
      <w:r w:rsidR="00457610" w:rsidRPr="00754733">
        <w:rPr>
          <w:color w:val="000000" w:themeColor="text1"/>
          <w:sz w:val="24"/>
          <w:szCs w:val="24"/>
        </w:rPr>
        <w:t xml:space="preserve">, the treatment of the topic was often considered </w:t>
      </w:r>
      <w:r w:rsidR="00DE6C82" w:rsidRPr="00754733">
        <w:rPr>
          <w:color w:val="000000" w:themeColor="text1"/>
          <w:sz w:val="24"/>
          <w:szCs w:val="24"/>
        </w:rPr>
        <w:t xml:space="preserve">appropriate. </w:t>
      </w:r>
      <w:r w:rsidR="00E63991" w:rsidRPr="00754733">
        <w:rPr>
          <w:color w:val="000000" w:themeColor="text1"/>
          <w:sz w:val="24"/>
          <w:szCs w:val="24"/>
        </w:rPr>
        <w:t xml:space="preserve">Participants also commented on how well written the books were, especially </w:t>
      </w:r>
      <w:r w:rsidR="006F6EDE" w:rsidRPr="00754733">
        <w:rPr>
          <w:i/>
          <w:iCs/>
          <w:color w:val="000000" w:themeColor="text1"/>
          <w:sz w:val="24"/>
          <w:szCs w:val="24"/>
        </w:rPr>
        <w:t>The Higher Power of Lucky</w:t>
      </w:r>
      <w:r w:rsidR="007743DD" w:rsidRPr="00754733">
        <w:rPr>
          <w:color w:val="000000" w:themeColor="text1"/>
          <w:sz w:val="24"/>
          <w:szCs w:val="24"/>
        </w:rPr>
        <w:t>, that there was a literary value beyond why the book was challenged.</w:t>
      </w:r>
      <w:r w:rsidR="006F6EDE" w:rsidRPr="00754733">
        <w:rPr>
          <w:color w:val="000000" w:themeColor="text1"/>
          <w:sz w:val="24"/>
          <w:szCs w:val="24"/>
        </w:rPr>
        <w:t xml:space="preserve"> </w:t>
      </w:r>
      <w:r w:rsidR="00DE6C82" w:rsidRPr="00754733">
        <w:rPr>
          <w:color w:val="000000" w:themeColor="text1"/>
          <w:sz w:val="24"/>
          <w:szCs w:val="24"/>
        </w:rPr>
        <w:t xml:space="preserve">When reading </w:t>
      </w:r>
      <w:r w:rsidR="00DE6C82" w:rsidRPr="00754733">
        <w:rPr>
          <w:i/>
          <w:iCs/>
          <w:color w:val="000000" w:themeColor="text1"/>
          <w:sz w:val="24"/>
          <w:szCs w:val="24"/>
        </w:rPr>
        <w:t xml:space="preserve">The Higher Power of </w:t>
      </w:r>
      <w:r w:rsidR="002214E7" w:rsidRPr="00754733">
        <w:rPr>
          <w:i/>
          <w:iCs/>
          <w:color w:val="000000" w:themeColor="text1"/>
          <w:sz w:val="24"/>
          <w:szCs w:val="24"/>
        </w:rPr>
        <w:t>L</w:t>
      </w:r>
      <w:r w:rsidR="00DE6C82" w:rsidRPr="00754733">
        <w:rPr>
          <w:i/>
          <w:iCs/>
          <w:color w:val="000000" w:themeColor="text1"/>
          <w:sz w:val="24"/>
          <w:szCs w:val="24"/>
        </w:rPr>
        <w:t>ucky</w:t>
      </w:r>
      <w:r w:rsidR="00DE6C82" w:rsidRPr="00754733">
        <w:rPr>
          <w:color w:val="000000" w:themeColor="text1"/>
          <w:sz w:val="24"/>
          <w:szCs w:val="24"/>
        </w:rPr>
        <w:t xml:space="preserve">, a parent is </w:t>
      </w:r>
      <w:r w:rsidR="004C13E9" w:rsidRPr="00754733">
        <w:rPr>
          <w:color w:val="000000" w:themeColor="text1"/>
          <w:sz w:val="24"/>
          <w:szCs w:val="24"/>
        </w:rPr>
        <w:t>quoted as talking about</w:t>
      </w:r>
      <w:r w:rsidR="00682A15" w:rsidRPr="00754733">
        <w:rPr>
          <w:color w:val="000000" w:themeColor="text1"/>
          <w:sz w:val="24"/>
          <w:szCs w:val="24"/>
        </w:rPr>
        <w:t xml:space="preserve"> </w:t>
      </w:r>
      <w:r w:rsidR="004C13E9" w:rsidRPr="00754733">
        <w:rPr>
          <w:color w:val="000000" w:themeColor="text1"/>
          <w:sz w:val="24"/>
          <w:szCs w:val="24"/>
        </w:rPr>
        <w:t>preferr</w:t>
      </w:r>
      <w:r w:rsidR="00682A15" w:rsidRPr="00754733">
        <w:rPr>
          <w:color w:val="000000" w:themeColor="text1"/>
          <w:sz w:val="24"/>
          <w:szCs w:val="24"/>
        </w:rPr>
        <w:t>ing</w:t>
      </w:r>
      <w:r w:rsidR="004C13E9" w:rsidRPr="00754733">
        <w:rPr>
          <w:color w:val="000000" w:themeColor="text1"/>
          <w:sz w:val="24"/>
          <w:szCs w:val="24"/>
        </w:rPr>
        <w:t xml:space="preserve"> her son to use the right word as the book did</w:t>
      </w:r>
      <w:r w:rsidR="006C0EF5">
        <w:rPr>
          <w:color w:val="000000" w:themeColor="text1"/>
          <w:sz w:val="24"/>
          <w:szCs w:val="24"/>
        </w:rPr>
        <w:t>,</w:t>
      </w:r>
      <w:r w:rsidR="004C13E9" w:rsidRPr="00754733">
        <w:rPr>
          <w:color w:val="000000" w:themeColor="text1"/>
          <w:sz w:val="24"/>
          <w:szCs w:val="24"/>
        </w:rPr>
        <w:t xml:space="preserve"> and that she then made sure her son knew </w:t>
      </w:r>
      <w:r w:rsidR="00682A15" w:rsidRPr="00754733">
        <w:rPr>
          <w:color w:val="000000" w:themeColor="text1"/>
          <w:sz w:val="24"/>
          <w:szCs w:val="24"/>
        </w:rPr>
        <w:t>t</w:t>
      </w:r>
      <w:r w:rsidR="00345226" w:rsidRPr="00754733">
        <w:rPr>
          <w:color w:val="000000" w:themeColor="text1"/>
          <w:sz w:val="24"/>
          <w:szCs w:val="24"/>
        </w:rPr>
        <w:t>he</w:t>
      </w:r>
      <w:r w:rsidR="00682A15" w:rsidRPr="00754733">
        <w:rPr>
          <w:color w:val="000000" w:themeColor="text1"/>
          <w:sz w:val="24"/>
          <w:szCs w:val="24"/>
        </w:rPr>
        <w:t xml:space="preserve"> word </w:t>
      </w:r>
      <w:r w:rsidR="002214E7" w:rsidRPr="00754733">
        <w:rPr>
          <w:color w:val="000000" w:themeColor="text1"/>
          <w:sz w:val="24"/>
          <w:szCs w:val="24"/>
        </w:rPr>
        <w:t>scrotum</w:t>
      </w:r>
      <w:r w:rsidR="004C13E9" w:rsidRPr="00754733">
        <w:rPr>
          <w:color w:val="000000" w:themeColor="text1"/>
          <w:sz w:val="24"/>
          <w:szCs w:val="24"/>
        </w:rPr>
        <w:t xml:space="preserve">. </w:t>
      </w:r>
      <w:r w:rsidR="005978BB" w:rsidRPr="00754733">
        <w:rPr>
          <w:color w:val="000000" w:themeColor="text1"/>
          <w:sz w:val="24"/>
          <w:szCs w:val="24"/>
        </w:rPr>
        <w:t xml:space="preserve">This was central to the notes about </w:t>
      </w:r>
      <w:r w:rsidR="005978BB" w:rsidRPr="00754733">
        <w:rPr>
          <w:i/>
          <w:iCs/>
          <w:color w:val="000000" w:themeColor="text1"/>
          <w:sz w:val="24"/>
          <w:szCs w:val="24"/>
        </w:rPr>
        <w:t>The Higher Power of Lucky</w:t>
      </w:r>
      <w:r w:rsidR="005978BB" w:rsidRPr="00754733">
        <w:rPr>
          <w:color w:val="000000" w:themeColor="text1"/>
          <w:sz w:val="24"/>
          <w:szCs w:val="24"/>
        </w:rPr>
        <w:t xml:space="preserve"> staying in the children’s department because a parent reading it saw nothing </w:t>
      </w:r>
      <w:r w:rsidR="00DB02BE" w:rsidRPr="00754733">
        <w:rPr>
          <w:color w:val="000000" w:themeColor="text1"/>
          <w:sz w:val="24"/>
          <w:szCs w:val="24"/>
        </w:rPr>
        <w:t xml:space="preserve">age </w:t>
      </w:r>
      <w:r w:rsidR="005978BB" w:rsidRPr="00754733">
        <w:rPr>
          <w:color w:val="000000" w:themeColor="text1"/>
          <w:sz w:val="24"/>
          <w:szCs w:val="24"/>
        </w:rPr>
        <w:t>inappropriate about that word for</w:t>
      </w:r>
      <w:r w:rsidR="00DB02BE" w:rsidRPr="00754733">
        <w:rPr>
          <w:color w:val="000000" w:themeColor="text1"/>
          <w:sz w:val="24"/>
          <w:szCs w:val="24"/>
        </w:rPr>
        <w:t xml:space="preserve"> the book</w:t>
      </w:r>
      <w:r w:rsidR="006338F7" w:rsidRPr="00754733">
        <w:rPr>
          <w:color w:val="000000" w:themeColor="text1"/>
          <w:sz w:val="24"/>
          <w:szCs w:val="24"/>
        </w:rPr>
        <w:t>’</w:t>
      </w:r>
      <w:r w:rsidR="00DB02BE" w:rsidRPr="00754733">
        <w:rPr>
          <w:color w:val="000000" w:themeColor="text1"/>
          <w:sz w:val="24"/>
          <w:szCs w:val="24"/>
        </w:rPr>
        <w:t xml:space="preserve">s intended audience. </w:t>
      </w:r>
      <w:r w:rsidR="00F43382" w:rsidRPr="00754733">
        <w:rPr>
          <w:color w:val="000000" w:themeColor="text1"/>
          <w:sz w:val="24"/>
          <w:szCs w:val="24"/>
        </w:rPr>
        <w:t>Also</w:t>
      </w:r>
      <w:r w:rsidR="00345226" w:rsidRPr="00754733">
        <w:rPr>
          <w:color w:val="000000" w:themeColor="text1"/>
          <w:sz w:val="24"/>
          <w:szCs w:val="24"/>
        </w:rPr>
        <w:t>,</w:t>
      </w:r>
      <w:r w:rsidR="00F43382" w:rsidRPr="00754733">
        <w:rPr>
          <w:color w:val="000000" w:themeColor="text1"/>
          <w:sz w:val="24"/>
          <w:szCs w:val="24"/>
        </w:rPr>
        <w:t xml:space="preserve"> the point that there was literary value to the book </w:t>
      </w:r>
      <w:r w:rsidR="00FD67A3" w:rsidRPr="00754733">
        <w:rPr>
          <w:color w:val="000000" w:themeColor="text1"/>
          <w:sz w:val="24"/>
          <w:szCs w:val="24"/>
        </w:rPr>
        <w:t xml:space="preserve">in theory </w:t>
      </w:r>
      <w:r w:rsidR="00F43382" w:rsidRPr="00754733">
        <w:rPr>
          <w:color w:val="000000" w:themeColor="text1"/>
          <w:sz w:val="24"/>
          <w:szCs w:val="24"/>
        </w:rPr>
        <w:t>to add to the children’s section added to the notes about keeping the work in the children’s section.</w:t>
      </w:r>
    </w:p>
    <w:p w14:paraId="0783EFB4" w14:textId="77777777" w:rsidR="00C54F79" w:rsidRPr="00754733" w:rsidRDefault="00C54F79" w:rsidP="00C54F79">
      <w:pPr>
        <w:spacing w:after="0" w:line="480" w:lineRule="auto"/>
        <w:ind w:left="720" w:hanging="720"/>
        <w:rPr>
          <w:i/>
          <w:iCs/>
          <w:sz w:val="24"/>
          <w:szCs w:val="24"/>
          <w:shd w:val="clear" w:color="auto" w:fill="FFFFFF"/>
        </w:rPr>
      </w:pPr>
      <w:proofErr w:type="spellStart"/>
      <w:r w:rsidRPr="00754733">
        <w:rPr>
          <w:sz w:val="24"/>
          <w:szCs w:val="24"/>
          <w:shd w:val="clear" w:color="auto" w:fill="FFFFFF"/>
        </w:rPr>
        <w:t>Klass</w:t>
      </w:r>
      <w:proofErr w:type="spellEnd"/>
      <w:r w:rsidRPr="00754733">
        <w:rPr>
          <w:sz w:val="24"/>
          <w:szCs w:val="24"/>
          <w:shd w:val="clear" w:color="auto" w:fill="FFFFFF"/>
        </w:rPr>
        <w:t xml:space="preserve">, P. (2016, November 1). Teaching children the real names for body parts. </w:t>
      </w:r>
      <w:r w:rsidRPr="00754733">
        <w:rPr>
          <w:i/>
          <w:iCs/>
          <w:sz w:val="24"/>
          <w:szCs w:val="24"/>
          <w:shd w:val="clear" w:color="auto" w:fill="FFFFFF"/>
        </w:rPr>
        <w:t>The New York Times</w:t>
      </w:r>
      <w:r w:rsidRPr="00754733">
        <w:rPr>
          <w:sz w:val="24"/>
          <w:szCs w:val="24"/>
          <w:shd w:val="clear" w:color="auto" w:fill="FFFFFF"/>
        </w:rPr>
        <w:t>,</w:t>
      </w:r>
      <w:r w:rsidRPr="00754733">
        <w:rPr>
          <w:i/>
          <w:iCs/>
          <w:sz w:val="24"/>
          <w:szCs w:val="24"/>
          <w:shd w:val="clear" w:color="auto" w:fill="FFFFFF"/>
        </w:rPr>
        <w:t xml:space="preserve"> </w:t>
      </w:r>
      <w:hyperlink r:id="rId31" w:history="1">
        <w:r w:rsidRPr="00754733">
          <w:rPr>
            <w:rStyle w:val="Hyperlink"/>
            <w:sz w:val="24"/>
            <w:szCs w:val="24"/>
            <w:shd w:val="clear" w:color="auto" w:fill="FFFFFF"/>
          </w:rPr>
          <w:t>https://www.nytimes.com/2016/10/31/well/family/teaching-children-the-real-names-for-body-parts.html</w:t>
        </w:r>
      </w:hyperlink>
      <w:r w:rsidRPr="00754733">
        <w:rPr>
          <w:i/>
          <w:iCs/>
          <w:sz w:val="24"/>
          <w:szCs w:val="24"/>
          <w:shd w:val="clear" w:color="auto" w:fill="FFFFFF"/>
        </w:rPr>
        <w:t xml:space="preserve"> </w:t>
      </w:r>
    </w:p>
    <w:p w14:paraId="6294F4E5" w14:textId="401617DC" w:rsidR="00C54F79" w:rsidRPr="00754733" w:rsidRDefault="00971A1C" w:rsidP="007D061D">
      <w:pPr>
        <w:spacing w:after="0" w:line="480" w:lineRule="auto"/>
        <w:ind w:left="720"/>
        <w:rPr>
          <w:sz w:val="24"/>
          <w:szCs w:val="24"/>
          <w:shd w:val="clear" w:color="auto" w:fill="FFFFFF"/>
        </w:rPr>
      </w:pPr>
      <w:proofErr w:type="spellStart"/>
      <w:r w:rsidRPr="00754733">
        <w:rPr>
          <w:sz w:val="24"/>
          <w:szCs w:val="24"/>
          <w:shd w:val="clear" w:color="auto" w:fill="FFFFFF"/>
        </w:rPr>
        <w:t>Klass</w:t>
      </w:r>
      <w:proofErr w:type="spellEnd"/>
      <w:r w:rsidRPr="00754733">
        <w:rPr>
          <w:sz w:val="24"/>
          <w:szCs w:val="24"/>
          <w:shd w:val="clear" w:color="auto" w:fill="FFFFFF"/>
        </w:rPr>
        <w:t xml:space="preserve"> is a</w:t>
      </w:r>
      <w:r w:rsidR="004E53E6" w:rsidRPr="00754733">
        <w:rPr>
          <w:sz w:val="24"/>
          <w:szCs w:val="24"/>
          <w:shd w:val="clear" w:color="auto" w:fill="FFFFFF"/>
        </w:rPr>
        <w:t xml:space="preserve"> doctor</w:t>
      </w:r>
      <w:r w:rsidR="009759C0" w:rsidRPr="00754733">
        <w:rPr>
          <w:sz w:val="24"/>
          <w:szCs w:val="24"/>
          <w:shd w:val="clear" w:color="auto" w:fill="FFFFFF"/>
        </w:rPr>
        <w:t xml:space="preserve">, </w:t>
      </w:r>
      <w:r w:rsidR="004B3478">
        <w:rPr>
          <w:sz w:val="24"/>
          <w:szCs w:val="24"/>
          <w:shd w:val="clear" w:color="auto" w:fill="FFFFFF"/>
        </w:rPr>
        <w:t>who</w:t>
      </w:r>
      <w:r w:rsidR="009759C0" w:rsidRPr="00754733">
        <w:rPr>
          <w:sz w:val="24"/>
          <w:szCs w:val="24"/>
          <w:shd w:val="clear" w:color="auto" w:fill="FFFFFF"/>
        </w:rPr>
        <w:t xml:space="preserve"> has written an article about teaching children the correct terminology for </w:t>
      </w:r>
      <w:r w:rsidR="00AB550C" w:rsidRPr="00754733">
        <w:rPr>
          <w:sz w:val="24"/>
          <w:szCs w:val="24"/>
          <w:shd w:val="clear" w:color="auto" w:fill="FFFFFF"/>
        </w:rPr>
        <w:t xml:space="preserve">all body parts including those that are the “private parts.” </w:t>
      </w:r>
      <w:r w:rsidR="002B297B" w:rsidRPr="00754733">
        <w:rPr>
          <w:sz w:val="24"/>
          <w:szCs w:val="24"/>
          <w:shd w:val="clear" w:color="auto" w:fill="FFFFFF"/>
        </w:rPr>
        <w:lastRenderedPageBreak/>
        <w:t xml:space="preserve">Unfortunately, </w:t>
      </w:r>
      <w:proofErr w:type="spellStart"/>
      <w:r w:rsidR="00977DAA" w:rsidRPr="00754733">
        <w:rPr>
          <w:sz w:val="24"/>
          <w:szCs w:val="24"/>
          <w:shd w:val="clear" w:color="auto" w:fill="FFFFFF"/>
        </w:rPr>
        <w:t>Klass</w:t>
      </w:r>
      <w:proofErr w:type="spellEnd"/>
      <w:r w:rsidR="00977DAA" w:rsidRPr="00754733">
        <w:rPr>
          <w:sz w:val="24"/>
          <w:szCs w:val="24"/>
          <w:shd w:val="clear" w:color="auto" w:fill="FFFFFF"/>
        </w:rPr>
        <w:t xml:space="preserve"> cites a study in 1992 by Wurtele in which Head Start students knew </w:t>
      </w:r>
      <w:r w:rsidR="00985850" w:rsidRPr="00754733">
        <w:rPr>
          <w:sz w:val="24"/>
          <w:szCs w:val="24"/>
          <w:shd w:val="clear" w:color="auto" w:fill="FFFFFF"/>
        </w:rPr>
        <w:t xml:space="preserve">real </w:t>
      </w:r>
      <w:r w:rsidR="00977DAA" w:rsidRPr="00754733">
        <w:rPr>
          <w:sz w:val="24"/>
          <w:szCs w:val="24"/>
          <w:shd w:val="clear" w:color="auto" w:fill="FFFFFF"/>
        </w:rPr>
        <w:t xml:space="preserve">body part names </w:t>
      </w:r>
      <w:r w:rsidR="000653CC" w:rsidRPr="00754733">
        <w:rPr>
          <w:sz w:val="24"/>
          <w:szCs w:val="24"/>
          <w:shd w:val="clear" w:color="auto" w:fill="FFFFFF"/>
        </w:rPr>
        <w:t xml:space="preserve">for other areas of the body, </w:t>
      </w:r>
      <w:r w:rsidR="00977DAA" w:rsidRPr="00754733">
        <w:rPr>
          <w:sz w:val="24"/>
          <w:szCs w:val="24"/>
          <w:shd w:val="clear" w:color="auto" w:fill="FFFFFF"/>
        </w:rPr>
        <w:t>b</w:t>
      </w:r>
      <w:r w:rsidR="00985850" w:rsidRPr="00754733">
        <w:rPr>
          <w:sz w:val="24"/>
          <w:szCs w:val="24"/>
          <w:shd w:val="clear" w:color="auto" w:fill="FFFFFF"/>
        </w:rPr>
        <w:t>ut mostly referred to genitalia as slang or</w:t>
      </w:r>
      <w:r w:rsidR="000653CC" w:rsidRPr="00754733">
        <w:rPr>
          <w:sz w:val="24"/>
          <w:szCs w:val="24"/>
          <w:shd w:val="clear" w:color="auto" w:fill="FFFFFF"/>
        </w:rPr>
        <w:t xml:space="preserve"> in</w:t>
      </w:r>
      <w:r w:rsidR="00985850" w:rsidRPr="00754733">
        <w:rPr>
          <w:sz w:val="24"/>
          <w:szCs w:val="24"/>
          <w:shd w:val="clear" w:color="auto" w:fill="FFFFFF"/>
        </w:rPr>
        <w:t xml:space="preserve"> euphemistic terms. </w:t>
      </w:r>
      <w:r w:rsidR="00C47741" w:rsidRPr="00754733">
        <w:rPr>
          <w:sz w:val="24"/>
          <w:szCs w:val="24"/>
          <w:shd w:val="clear" w:color="auto" w:fill="FFFFFF"/>
        </w:rPr>
        <w:t xml:space="preserve">Wurtele also postulates that knowing the correct terms </w:t>
      </w:r>
      <w:r w:rsidR="00D107A1" w:rsidRPr="00754733">
        <w:rPr>
          <w:sz w:val="24"/>
          <w:szCs w:val="24"/>
          <w:shd w:val="clear" w:color="auto" w:fill="FFFFFF"/>
        </w:rPr>
        <w:t xml:space="preserve">makes children less vulnerable to sexual abuse because the child who is comfortable with the correct terminology </w:t>
      </w:r>
      <w:r w:rsidR="005D1D7F" w:rsidRPr="00754733">
        <w:rPr>
          <w:sz w:val="24"/>
          <w:szCs w:val="24"/>
          <w:shd w:val="clear" w:color="auto" w:fill="FFFFFF"/>
        </w:rPr>
        <w:t xml:space="preserve">can talk about what was done to them in terms that are not </w:t>
      </w:r>
      <w:r w:rsidR="00120A92" w:rsidRPr="00754733">
        <w:rPr>
          <w:sz w:val="24"/>
          <w:szCs w:val="24"/>
          <w:shd w:val="clear" w:color="auto" w:fill="FFFFFF"/>
        </w:rPr>
        <w:t>easy to be misunderstood</w:t>
      </w:r>
      <w:r w:rsidR="001332A8">
        <w:rPr>
          <w:sz w:val="24"/>
          <w:szCs w:val="24"/>
          <w:shd w:val="clear" w:color="auto" w:fill="FFFFFF"/>
        </w:rPr>
        <w:t>,</w:t>
      </w:r>
      <w:r w:rsidR="00120A92" w:rsidRPr="00754733">
        <w:rPr>
          <w:sz w:val="24"/>
          <w:szCs w:val="24"/>
          <w:shd w:val="clear" w:color="auto" w:fill="FFFFFF"/>
        </w:rPr>
        <w:t xml:space="preserve"> and </w:t>
      </w:r>
      <w:r w:rsidR="000428A0">
        <w:rPr>
          <w:sz w:val="24"/>
          <w:szCs w:val="24"/>
          <w:shd w:val="clear" w:color="auto" w:fill="FFFFFF"/>
        </w:rPr>
        <w:t xml:space="preserve">that this child’s </w:t>
      </w:r>
      <w:r w:rsidR="00120A92" w:rsidRPr="00754733">
        <w:rPr>
          <w:sz w:val="24"/>
          <w:szCs w:val="24"/>
          <w:shd w:val="clear" w:color="auto" w:fill="FFFFFF"/>
        </w:rPr>
        <w:t>parents have</w:t>
      </w:r>
      <w:r w:rsidR="001F7F1D">
        <w:rPr>
          <w:sz w:val="24"/>
          <w:szCs w:val="24"/>
          <w:shd w:val="clear" w:color="auto" w:fill="FFFFFF"/>
        </w:rPr>
        <w:t xml:space="preserve"> </w:t>
      </w:r>
      <w:r w:rsidR="000653CC" w:rsidRPr="00754733">
        <w:rPr>
          <w:sz w:val="24"/>
          <w:szCs w:val="24"/>
          <w:shd w:val="clear" w:color="auto" w:fill="FFFFFF"/>
        </w:rPr>
        <w:t>obviously</w:t>
      </w:r>
      <w:r w:rsidR="001F7F1D">
        <w:rPr>
          <w:sz w:val="24"/>
          <w:szCs w:val="24"/>
          <w:shd w:val="clear" w:color="auto" w:fill="FFFFFF"/>
        </w:rPr>
        <w:t xml:space="preserve"> been</w:t>
      </w:r>
      <w:r w:rsidR="000653CC" w:rsidRPr="00754733">
        <w:rPr>
          <w:sz w:val="24"/>
          <w:szCs w:val="24"/>
          <w:shd w:val="clear" w:color="auto" w:fill="FFFFFF"/>
        </w:rPr>
        <w:t xml:space="preserve"> </w:t>
      </w:r>
      <w:r w:rsidR="00120A92" w:rsidRPr="00754733">
        <w:rPr>
          <w:sz w:val="24"/>
          <w:szCs w:val="24"/>
          <w:shd w:val="clear" w:color="auto" w:fill="FFFFFF"/>
        </w:rPr>
        <w:t xml:space="preserve">willing to talk to them </w:t>
      </w:r>
      <w:r w:rsidR="00F56653" w:rsidRPr="00754733">
        <w:rPr>
          <w:sz w:val="24"/>
          <w:szCs w:val="24"/>
          <w:shd w:val="clear" w:color="auto" w:fill="FFFFFF"/>
        </w:rPr>
        <w:t xml:space="preserve">about these subjects. This was cited in the notes as </w:t>
      </w:r>
      <w:r w:rsidR="007E1B1F" w:rsidRPr="00754733">
        <w:rPr>
          <w:sz w:val="24"/>
          <w:szCs w:val="24"/>
          <w:shd w:val="clear" w:color="auto" w:fill="FFFFFF"/>
        </w:rPr>
        <w:t xml:space="preserve">a reason that </w:t>
      </w:r>
      <w:r w:rsidR="007E1B1F" w:rsidRPr="00754733">
        <w:rPr>
          <w:i/>
          <w:iCs/>
          <w:sz w:val="24"/>
          <w:szCs w:val="24"/>
          <w:shd w:val="clear" w:color="auto" w:fill="FFFFFF"/>
        </w:rPr>
        <w:t>The Higher Power of Lucky</w:t>
      </w:r>
      <w:r w:rsidR="007E1B1F" w:rsidRPr="00754733">
        <w:rPr>
          <w:sz w:val="24"/>
          <w:szCs w:val="24"/>
          <w:shd w:val="clear" w:color="auto" w:fill="FFFFFF"/>
        </w:rPr>
        <w:t xml:space="preserve"> should stay in the children’s section because it uses the term appropriately</w:t>
      </w:r>
      <w:r w:rsidR="00920C10" w:rsidRPr="00754733">
        <w:rPr>
          <w:sz w:val="24"/>
          <w:szCs w:val="24"/>
          <w:shd w:val="clear" w:color="auto" w:fill="FFFFFF"/>
        </w:rPr>
        <w:t>,</w:t>
      </w:r>
      <w:r w:rsidR="007E1B1F" w:rsidRPr="00754733">
        <w:rPr>
          <w:sz w:val="24"/>
          <w:szCs w:val="24"/>
          <w:shd w:val="clear" w:color="auto" w:fill="FFFFFF"/>
        </w:rPr>
        <w:t xml:space="preserve"> and children who know appropriate terms are less likely to fall prey to sexual abusers. Also, </w:t>
      </w:r>
      <w:r w:rsidR="00FF7DDB" w:rsidRPr="00754733">
        <w:rPr>
          <w:sz w:val="24"/>
          <w:szCs w:val="24"/>
          <w:shd w:val="clear" w:color="auto" w:fill="FFFFFF"/>
        </w:rPr>
        <w:t xml:space="preserve">when proper terminology is left out, </w:t>
      </w:r>
      <w:r w:rsidR="00F10D11">
        <w:rPr>
          <w:sz w:val="24"/>
          <w:szCs w:val="24"/>
          <w:shd w:val="clear" w:color="auto" w:fill="FFFFFF"/>
        </w:rPr>
        <w:t>the article suggests it</w:t>
      </w:r>
      <w:r w:rsidR="00FF7DDB" w:rsidRPr="00754733">
        <w:rPr>
          <w:sz w:val="24"/>
          <w:szCs w:val="24"/>
          <w:shd w:val="clear" w:color="auto" w:fill="FFFFFF"/>
        </w:rPr>
        <w:t xml:space="preserve"> leads</w:t>
      </w:r>
      <w:r w:rsidR="00926C9B" w:rsidRPr="00754733">
        <w:rPr>
          <w:sz w:val="24"/>
          <w:szCs w:val="24"/>
          <w:shd w:val="clear" w:color="auto" w:fill="FFFFFF"/>
        </w:rPr>
        <w:t xml:space="preserve"> to the idea that these words are things we can not talk about. This was also used in the notes to emphasize that the book should stay in the children’s section because </w:t>
      </w:r>
      <w:r w:rsidR="00ED6D8A" w:rsidRPr="00754733">
        <w:rPr>
          <w:sz w:val="24"/>
          <w:szCs w:val="24"/>
          <w:shd w:val="clear" w:color="auto" w:fill="FFFFFF"/>
        </w:rPr>
        <w:t>scrotum is not a bad word</w:t>
      </w:r>
      <w:r w:rsidR="00920C10" w:rsidRPr="00754733">
        <w:rPr>
          <w:sz w:val="24"/>
          <w:szCs w:val="24"/>
          <w:shd w:val="clear" w:color="auto" w:fill="FFFFFF"/>
        </w:rPr>
        <w:t>,</w:t>
      </w:r>
      <w:r w:rsidR="00ED6D8A" w:rsidRPr="00754733">
        <w:rPr>
          <w:sz w:val="24"/>
          <w:szCs w:val="24"/>
          <w:shd w:val="clear" w:color="auto" w:fill="FFFFFF"/>
        </w:rPr>
        <w:t xml:space="preserve"> nor is it something that cannot be discussed, it</w:t>
      </w:r>
      <w:r w:rsidR="00831730" w:rsidRPr="00754733">
        <w:rPr>
          <w:sz w:val="24"/>
          <w:szCs w:val="24"/>
          <w:shd w:val="clear" w:color="auto" w:fill="FFFFFF"/>
        </w:rPr>
        <w:t xml:space="preserve"> is</w:t>
      </w:r>
      <w:r w:rsidR="00ED6D8A" w:rsidRPr="00754733">
        <w:rPr>
          <w:sz w:val="24"/>
          <w:szCs w:val="24"/>
          <w:shd w:val="clear" w:color="auto" w:fill="FFFFFF"/>
        </w:rPr>
        <w:t xml:space="preserve"> just a word. </w:t>
      </w:r>
    </w:p>
    <w:p w14:paraId="4690925E" w14:textId="7EBFDA07" w:rsidR="00F52410" w:rsidRPr="00754733" w:rsidRDefault="00F52410" w:rsidP="00F52410">
      <w:pPr>
        <w:spacing w:after="0" w:line="480" w:lineRule="auto"/>
        <w:ind w:left="720" w:hanging="720"/>
        <w:rPr>
          <w:sz w:val="24"/>
          <w:szCs w:val="24"/>
        </w:rPr>
      </w:pPr>
      <w:r w:rsidRPr="00754733">
        <w:rPr>
          <w:sz w:val="24"/>
          <w:szCs w:val="24"/>
        </w:rPr>
        <w:t xml:space="preserve">Whelan, D. (2009, February 2). A dirty little secret: Self-Censorship. </w:t>
      </w:r>
      <w:r w:rsidRPr="00754733">
        <w:rPr>
          <w:i/>
          <w:iCs/>
          <w:sz w:val="24"/>
          <w:szCs w:val="24"/>
        </w:rPr>
        <w:t>School Library Journal</w:t>
      </w:r>
      <w:r w:rsidRPr="00754733">
        <w:rPr>
          <w:sz w:val="24"/>
          <w:szCs w:val="24"/>
        </w:rPr>
        <w:t xml:space="preserve">. </w:t>
      </w:r>
      <w:hyperlink r:id="rId32" w:history="1">
        <w:r w:rsidRPr="00754733">
          <w:rPr>
            <w:rStyle w:val="Hyperlink"/>
            <w:sz w:val="24"/>
            <w:szCs w:val="24"/>
          </w:rPr>
          <w:t>https://www.slj.com/?detailStory=a-dirty-little-secret-self-censorship</w:t>
        </w:r>
      </w:hyperlink>
      <w:r w:rsidRPr="00754733">
        <w:rPr>
          <w:sz w:val="24"/>
          <w:szCs w:val="24"/>
        </w:rPr>
        <w:t xml:space="preserve"> </w:t>
      </w:r>
    </w:p>
    <w:p w14:paraId="09F2E6E5" w14:textId="64772E3D" w:rsidR="00F52410" w:rsidRPr="00754733" w:rsidRDefault="00603354" w:rsidP="00C4486D">
      <w:pPr>
        <w:spacing w:after="0" w:line="480" w:lineRule="auto"/>
        <w:ind w:left="720"/>
        <w:rPr>
          <w:sz w:val="24"/>
          <w:szCs w:val="24"/>
        </w:rPr>
      </w:pPr>
      <w:r w:rsidRPr="00754733">
        <w:rPr>
          <w:sz w:val="24"/>
          <w:szCs w:val="24"/>
        </w:rPr>
        <w:t>Whelan provides an overview of</w:t>
      </w:r>
      <w:r w:rsidR="00E0400B" w:rsidRPr="00754733">
        <w:rPr>
          <w:sz w:val="24"/>
          <w:szCs w:val="24"/>
        </w:rPr>
        <w:t xml:space="preserve"> self-cens</w:t>
      </w:r>
      <w:r w:rsidR="009563FF" w:rsidRPr="00754733">
        <w:rPr>
          <w:sz w:val="24"/>
          <w:szCs w:val="24"/>
        </w:rPr>
        <w:t xml:space="preserve">orship </w:t>
      </w:r>
      <w:r w:rsidR="00C4556B" w:rsidRPr="00754733">
        <w:rPr>
          <w:sz w:val="24"/>
          <w:szCs w:val="24"/>
        </w:rPr>
        <w:t xml:space="preserve">and </w:t>
      </w:r>
      <w:r w:rsidR="00D04AEB" w:rsidRPr="00754733">
        <w:rPr>
          <w:sz w:val="24"/>
          <w:szCs w:val="24"/>
        </w:rPr>
        <w:t>the reasons why librarians censor the books on the shelves</w:t>
      </w:r>
      <w:r w:rsidR="00603269" w:rsidRPr="00754733">
        <w:rPr>
          <w:sz w:val="24"/>
          <w:szCs w:val="24"/>
        </w:rPr>
        <w:t xml:space="preserve"> by </w:t>
      </w:r>
      <w:r w:rsidR="00D04AEB" w:rsidRPr="00754733">
        <w:rPr>
          <w:sz w:val="24"/>
          <w:szCs w:val="24"/>
        </w:rPr>
        <w:t xml:space="preserve">their </w:t>
      </w:r>
      <w:r w:rsidR="00C43BF0" w:rsidRPr="00754733">
        <w:rPr>
          <w:sz w:val="24"/>
          <w:szCs w:val="24"/>
        </w:rPr>
        <w:t xml:space="preserve">lack of </w:t>
      </w:r>
      <w:r w:rsidR="00D04AEB" w:rsidRPr="00754733">
        <w:rPr>
          <w:sz w:val="24"/>
          <w:szCs w:val="24"/>
        </w:rPr>
        <w:t xml:space="preserve">purchasing controversial materials and </w:t>
      </w:r>
      <w:r w:rsidR="00F02A4F" w:rsidRPr="00754733">
        <w:rPr>
          <w:sz w:val="24"/>
          <w:szCs w:val="24"/>
        </w:rPr>
        <w:t xml:space="preserve">by </w:t>
      </w:r>
      <w:r w:rsidR="00800ABA" w:rsidRPr="00754733">
        <w:rPr>
          <w:sz w:val="24"/>
          <w:szCs w:val="24"/>
        </w:rPr>
        <w:t>their decisions</w:t>
      </w:r>
      <w:r w:rsidR="00984986" w:rsidRPr="00754733">
        <w:rPr>
          <w:sz w:val="24"/>
          <w:szCs w:val="24"/>
        </w:rPr>
        <w:t xml:space="preserve"> </w:t>
      </w:r>
      <w:r w:rsidR="00D04AEB" w:rsidRPr="00754733">
        <w:rPr>
          <w:sz w:val="24"/>
          <w:szCs w:val="24"/>
        </w:rPr>
        <w:t xml:space="preserve">where books </w:t>
      </w:r>
      <w:r w:rsidR="00C43BF0" w:rsidRPr="00754733">
        <w:rPr>
          <w:sz w:val="24"/>
          <w:szCs w:val="24"/>
        </w:rPr>
        <w:t>go on the shelves</w:t>
      </w:r>
      <w:r w:rsidR="001A5A1F" w:rsidRPr="00754733">
        <w:rPr>
          <w:sz w:val="24"/>
          <w:szCs w:val="24"/>
        </w:rPr>
        <w:t>.</w:t>
      </w:r>
      <w:r w:rsidR="00AA01E0" w:rsidRPr="00754733">
        <w:rPr>
          <w:sz w:val="24"/>
          <w:szCs w:val="24"/>
        </w:rPr>
        <w:t xml:space="preserve"> </w:t>
      </w:r>
      <w:r w:rsidR="00C03C03" w:rsidRPr="00754733">
        <w:rPr>
          <w:sz w:val="24"/>
          <w:szCs w:val="24"/>
        </w:rPr>
        <w:t xml:space="preserve">Several </w:t>
      </w:r>
      <w:r w:rsidR="00AA64CC" w:rsidRPr="00754733">
        <w:rPr>
          <w:sz w:val="24"/>
          <w:szCs w:val="24"/>
        </w:rPr>
        <w:t>b</w:t>
      </w:r>
      <w:r w:rsidR="00AA01E0" w:rsidRPr="00754733">
        <w:rPr>
          <w:sz w:val="24"/>
          <w:szCs w:val="24"/>
        </w:rPr>
        <w:t>ooks</w:t>
      </w:r>
      <w:r w:rsidR="00472C17" w:rsidRPr="00754733">
        <w:rPr>
          <w:sz w:val="24"/>
          <w:szCs w:val="24"/>
        </w:rPr>
        <w:t xml:space="preserve">, including </w:t>
      </w:r>
      <w:r w:rsidR="00472C17" w:rsidRPr="00754733">
        <w:rPr>
          <w:i/>
          <w:iCs/>
          <w:sz w:val="24"/>
          <w:szCs w:val="24"/>
        </w:rPr>
        <w:t>The Higher Power of Lucky</w:t>
      </w:r>
      <w:r w:rsidR="00472C17" w:rsidRPr="00754733">
        <w:rPr>
          <w:sz w:val="24"/>
          <w:szCs w:val="24"/>
        </w:rPr>
        <w:t>,</w:t>
      </w:r>
      <w:r w:rsidR="0084036D" w:rsidRPr="00754733">
        <w:rPr>
          <w:sz w:val="24"/>
          <w:szCs w:val="24"/>
        </w:rPr>
        <w:t xml:space="preserve"> are discussed</w:t>
      </w:r>
      <w:r w:rsidR="00AA01E0" w:rsidRPr="00754733">
        <w:rPr>
          <w:sz w:val="24"/>
          <w:szCs w:val="24"/>
        </w:rPr>
        <w:t xml:space="preserve"> that have been affected by this and have been targeted by </w:t>
      </w:r>
      <w:r w:rsidR="00833EC9" w:rsidRPr="00754733">
        <w:rPr>
          <w:sz w:val="24"/>
          <w:szCs w:val="24"/>
        </w:rPr>
        <w:t>book banning.</w:t>
      </w:r>
      <w:r w:rsidR="001A5A1F" w:rsidRPr="00754733">
        <w:rPr>
          <w:sz w:val="24"/>
          <w:szCs w:val="24"/>
        </w:rPr>
        <w:t xml:space="preserve"> </w:t>
      </w:r>
      <w:r w:rsidR="00B53CE1" w:rsidRPr="00754733">
        <w:rPr>
          <w:sz w:val="24"/>
          <w:szCs w:val="24"/>
        </w:rPr>
        <w:t>The</w:t>
      </w:r>
      <w:r w:rsidR="006528E4" w:rsidRPr="00754733">
        <w:rPr>
          <w:sz w:val="24"/>
          <w:szCs w:val="24"/>
        </w:rPr>
        <w:t xml:space="preserve"> article contain</w:t>
      </w:r>
      <w:r w:rsidR="00AA64CC" w:rsidRPr="00754733">
        <w:rPr>
          <w:sz w:val="24"/>
          <w:szCs w:val="24"/>
        </w:rPr>
        <w:t>s</w:t>
      </w:r>
      <w:r w:rsidR="006528E4" w:rsidRPr="00754733">
        <w:rPr>
          <w:sz w:val="24"/>
          <w:szCs w:val="24"/>
        </w:rPr>
        <w:t xml:space="preserve"> a</w:t>
      </w:r>
      <w:r w:rsidR="00B53CE1" w:rsidRPr="00754733">
        <w:rPr>
          <w:sz w:val="24"/>
          <w:szCs w:val="24"/>
        </w:rPr>
        <w:t xml:space="preserve"> </w:t>
      </w:r>
      <w:r w:rsidR="008F142A" w:rsidRPr="00754733">
        <w:rPr>
          <w:sz w:val="24"/>
          <w:szCs w:val="24"/>
        </w:rPr>
        <w:t>run-down</w:t>
      </w:r>
      <w:r w:rsidR="00B53CE1" w:rsidRPr="00754733">
        <w:rPr>
          <w:sz w:val="24"/>
          <w:szCs w:val="24"/>
        </w:rPr>
        <w:t xml:space="preserve"> of </w:t>
      </w:r>
      <w:r w:rsidR="008829D6" w:rsidRPr="00754733">
        <w:rPr>
          <w:sz w:val="24"/>
          <w:szCs w:val="24"/>
        </w:rPr>
        <w:t>court</w:t>
      </w:r>
      <w:r w:rsidR="00984986" w:rsidRPr="00754733">
        <w:rPr>
          <w:sz w:val="24"/>
          <w:szCs w:val="24"/>
        </w:rPr>
        <w:t xml:space="preserve"> </w:t>
      </w:r>
      <w:r w:rsidR="008829D6" w:rsidRPr="00754733">
        <w:rPr>
          <w:sz w:val="24"/>
          <w:szCs w:val="24"/>
        </w:rPr>
        <w:t>cases that have upheld children</w:t>
      </w:r>
      <w:r w:rsidR="003122E2" w:rsidRPr="00754733">
        <w:rPr>
          <w:sz w:val="24"/>
          <w:szCs w:val="24"/>
        </w:rPr>
        <w:t>/students</w:t>
      </w:r>
      <w:r w:rsidR="008829D6" w:rsidRPr="00754733">
        <w:rPr>
          <w:sz w:val="24"/>
          <w:szCs w:val="24"/>
        </w:rPr>
        <w:t xml:space="preserve"> do have First Amendment rights</w:t>
      </w:r>
      <w:r w:rsidR="006528E4" w:rsidRPr="00754733">
        <w:rPr>
          <w:sz w:val="24"/>
          <w:szCs w:val="24"/>
        </w:rPr>
        <w:t xml:space="preserve">. </w:t>
      </w:r>
      <w:r w:rsidR="006528E4" w:rsidRPr="00754733">
        <w:rPr>
          <w:sz w:val="24"/>
          <w:szCs w:val="24"/>
        </w:rPr>
        <w:lastRenderedPageBreak/>
        <w:t>This included</w:t>
      </w:r>
      <w:r w:rsidR="00E46CC1" w:rsidRPr="00754733">
        <w:rPr>
          <w:sz w:val="24"/>
          <w:szCs w:val="24"/>
        </w:rPr>
        <w:t xml:space="preserve"> the case where </w:t>
      </w:r>
      <w:r w:rsidR="00E46CC1" w:rsidRPr="00754733">
        <w:rPr>
          <w:i/>
          <w:iCs/>
          <w:sz w:val="24"/>
          <w:szCs w:val="24"/>
        </w:rPr>
        <w:t xml:space="preserve">Annie on My Mind </w:t>
      </w:r>
      <w:r w:rsidR="00E46CC1" w:rsidRPr="00754733">
        <w:rPr>
          <w:sz w:val="24"/>
          <w:szCs w:val="24"/>
        </w:rPr>
        <w:t>was ordered to be returned</w:t>
      </w:r>
      <w:r w:rsidR="00400029" w:rsidRPr="00754733">
        <w:rPr>
          <w:sz w:val="24"/>
          <w:szCs w:val="24"/>
        </w:rPr>
        <w:t xml:space="preserve"> to high school libraries</w:t>
      </w:r>
      <w:r w:rsidR="00E46CC1" w:rsidRPr="00754733">
        <w:rPr>
          <w:sz w:val="24"/>
          <w:szCs w:val="24"/>
        </w:rPr>
        <w:t xml:space="preserve"> by a U.S. Dis</w:t>
      </w:r>
      <w:r w:rsidR="00D70DEC" w:rsidRPr="00754733">
        <w:rPr>
          <w:sz w:val="24"/>
          <w:szCs w:val="24"/>
        </w:rPr>
        <w:t xml:space="preserve">trict Court justice because it was educationally suitable. Another case mentioned the </w:t>
      </w:r>
      <w:r w:rsidR="008829D6" w:rsidRPr="00754733">
        <w:rPr>
          <w:sz w:val="24"/>
          <w:szCs w:val="24"/>
        </w:rPr>
        <w:t>return of Harry Potter</w:t>
      </w:r>
      <w:r w:rsidR="00D41CC7" w:rsidRPr="00754733">
        <w:rPr>
          <w:sz w:val="24"/>
          <w:szCs w:val="24"/>
        </w:rPr>
        <w:t xml:space="preserve"> by a federal judge</w:t>
      </w:r>
      <w:r w:rsidR="008829D6" w:rsidRPr="00754733">
        <w:rPr>
          <w:sz w:val="24"/>
          <w:szCs w:val="24"/>
        </w:rPr>
        <w:t xml:space="preserve"> to the shelves </w:t>
      </w:r>
      <w:r w:rsidR="00C86A4D" w:rsidRPr="00754733">
        <w:rPr>
          <w:sz w:val="24"/>
          <w:szCs w:val="24"/>
        </w:rPr>
        <w:t xml:space="preserve">of </w:t>
      </w:r>
      <w:r w:rsidR="001C1014" w:rsidRPr="00754733">
        <w:rPr>
          <w:sz w:val="24"/>
          <w:szCs w:val="24"/>
        </w:rPr>
        <w:t xml:space="preserve">Cedarville School District </w:t>
      </w:r>
      <w:r w:rsidR="00C86A4D" w:rsidRPr="00754733">
        <w:rPr>
          <w:sz w:val="24"/>
          <w:szCs w:val="24"/>
        </w:rPr>
        <w:t>librar</w:t>
      </w:r>
      <w:r w:rsidR="0083481C" w:rsidRPr="00754733">
        <w:rPr>
          <w:sz w:val="24"/>
          <w:szCs w:val="24"/>
        </w:rPr>
        <w:t>ies</w:t>
      </w:r>
      <w:r w:rsidR="00C86A4D" w:rsidRPr="00754733">
        <w:rPr>
          <w:sz w:val="24"/>
          <w:szCs w:val="24"/>
        </w:rPr>
        <w:t xml:space="preserve"> that had made it available only through written parental permission</w:t>
      </w:r>
      <w:r w:rsidR="00596000" w:rsidRPr="00754733">
        <w:rPr>
          <w:sz w:val="24"/>
          <w:szCs w:val="24"/>
        </w:rPr>
        <w:t xml:space="preserve">. </w:t>
      </w:r>
      <w:r w:rsidR="00D41CC7" w:rsidRPr="00754733">
        <w:rPr>
          <w:sz w:val="24"/>
          <w:szCs w:val="24"/>
        </w:rPr>
        <w:t>Both</w:t>
      </w:r>
      <w:r w:rsidR="00596000" w:rsidRPr="00754733">
        <w:rPr>
          <w:sz w:val="24"/>
          <w:szCs w:val="24"/>
        </w:rPr>
        <w:t xml:space="preserve"> cases cemented part of the</w:t>
      </w:r>
      <w:r w:rsidR="007D267C" w:rsidRPr="00754733">
        <w:rPr>
          <w:sz w:val="24"/>
          <w:szCs w:val="24"/>
        </w:rPr>
        <w:t xml:space="preserve"> notes</w:t>
      </w:r>
      <w:r w:rsidR="00C86A4D" w:rsidRPr="00754733">
        <w:rPr>
          <w:sz w:val="24"/>
          <w:szCs w:val="24"/>
        </w:rPr>
        <w:t xml:space="preserve"> that </w:t>
      </w:r>
      <w:r w:rsidR="00C86A4D" w:rsidRPr="00754733">
        <w:rPr>
          <w:i/>
          <w:iCs/>
          <w:sz w:val="24"/>
          <w:szCs w:val="24"/>
        </w:rPr>
        <w:t>The Higher Power of Lucky</w:t>
      </w:r>
      <w:r w:rsidR="00C86A4D" w:rsidRPr="00754733">
        <w:rPr>
          <w:sz w:val="24"/>
          <w:szCs w:val="24"/>
        </w:rPr>
        <w:t xml:space="preserve"> should stay on the </w:t>
      </w:r>
      <w:r w:rsidR="002F2CD8" w:rsidRPr="00754733">
        <w:rPr>
          <w:sz w:val="24"/>
          <w:szCs w:val="24"/>
        </w:rPr>
        <w:t>children’s shelves</w:t>
      </w:r>
      <w:r w:rsidR="00886172" w:rsidRPr="00754733">
        <w:rPr>
          <w:sz w:val="24"/>
          <w:szCs w:val="24"/>
        </w:rPr>
        <w:t>, not be moved</w:t>
      </w:r>
      <w:r w:rsidR="00D41CC7" w:rsidRPr="00754733">
        <w:rPr>
          <w:sz w:val="24"/>
          <w:szCs w:val="24"/>
        </w:rPr>
        <w:t xml:space="preserve"> to young adult</w:t>
      </w:r>
      <w:r w:rsidR="00886172" w:rsidRPr="00754733">
        <w:rPr>
          <w:sz w:val="24"/>
          <w:szCs w:val="24"/>
        </w:rPr>
        <w:t>, nor have parental permission required to check it out</w:t>
      </w:r>
      <w:r w:rsidR="005C462B" w:rsidRPr="00754733">
        <w:rPr>
          <w:sz w:val="24"/>
          <w:szCs w:val="24"/>
        </w:rPr>
        <w:t xml:space="preserve"> because of the use of the word scrotum</w:t>
      </w:r>
      <w:r w:rsidR="00886172" w:rsidRPr="00754733">
        <w:rPr>
          <w:sz w:val="24"/>
          <w:szCs w:val="24"/>
        </w:rPr>
        <w:t xml:space="preserve">. </w:t>
      </w:r>
      <w:r w:rsidR="00D41CC7" w:rsidRPr="00754733">
        <w:rPr>
          <w:sz w:val="24"/>
          <w:szCs w:val="24"/>
        </w:rPr>
        <w:t>Whelan also</w:t>
      </w:r>
      <w:r w:rsidR="00987E92" w:rsidRPr="00754733">
        <w:rPr>
          <w:sz w:val="24"/>
          <w:szCs w:val="24"/>
        </w:rPr>
        <w:t xml:space="preserve"> talked about that if a book was age appropriate</w:t>
      </w:r>
      <w:r w:rsidR="003650AF" w:rsidRPr="00754733">
        <w:rPr>
          <w:sz w:val="24"/>
          <w:szCs w:val="24"/>
        </w:rPr>
        <w:t>, then it became a con</w:t>
      </w:r>
      <w:r w:rsidR="00AE3B34" w:rsidRPr="00754733">
        <w:rPr>
          <w:sz w:val="24"/>
          <w:szCs w:val="24"/>
        </w:rPr>
        <w:t xml:space="preserve">stitutional issue to remove it because of content that was disapproved of. </w:t>
      </w:r>
      <w:r w:rsidR="005A4458" w:rsidRPr="00754733">
        <w:rPr>
          <w:sz w:val="24"/>
          <w:szCs w:val="24"/>
        </w:rPr>
        <w:t xml:space="preserve">The age appropriateness of </w:t>
      </w:r>
      <w:r w:rsidR="005A4458" w:rsidRPr="00754733">
        <w:rPr>
          <w:i/>
          <w:iCs/>
          <w:sz w:val="24"/>
          <w:szCs w:val="24"/>
        </w:rPr>
        <w:t>The Higher Power of Lucky</w:t>
      </w:r>
      <w:r w:rsidR="003B2200" w:rsidRPr="00754733">
        <w:rPr>
          <w:i/>
          <w:iCs/>
          <w:sz w:val="24"/>
          <w:szCs w:val="24"/>
        </w:rPr>
        <w:t>,</w:t>
      </w:r>
      <w:r w:rsidR="005A4458" w:rsidRPr="00754733">
        <w:rPr>
          <w:sz w:val="24"/>
          <w:szCs w:val="24"/>
        </w:rPr>
        <w:t xml:space="preserve"> </w:t>
      </w:r>
      <w:r w:rsidR="00A16C2F" w:rsidRPr="00754733">
        <w:rPr>
          <w:sz w:val="24"/>
          <w:szCs w:val="24"/>
        </w:rPr>
        <w:t>discussed in its reading levels</w:t>
      </w:r>
      <w:r w:rsidR="00DF20DD" w:rsidRPr="00754733">
        <w:rPr>
          <w:sz w:val="24"/>
          <w:szCs w:val="24"/>
        </w:rPr>
        <w:t xml:space="preserve"> of 3</w:t>
      </w:r>
      <w:r w:rsidR="00DF20DD" w:rsidRPr="00754733">
        <w:rPr>
          <w:sz w:val="24"/>
          <w:szCs w:val="24"/>
          <w:vertAlign w:val="superscript"/>
        </w:rPr>
        <w:t>rd</w:t>
      </w:r>
      <w:r w:rsidR="00DF20DD" w:rsidRPr="00754733">
        <w:rPr>
          <w:sz w:val="24"/>
          <w:szCs w:val="24"/>
        </w:rPr>
        <w:t xml:space="preserve"> to 6</w:t>
      </w:r>
      <w:r w:rsidR="00DF20DD" w:rsidRPr="00754733">
        <w:rPr>
          <w:sz w:val="24"/>
          <w:szCs w:val="24"/>
          <w:vertAlign w:val="superscript"/>
        </w:rPr>
        <w:t>th</w:t>
      </w:r>
      <w:r w:rsidR="00DF20DD" w:rsidRPr="00754733">
        <w:rPr>
          <w:sz w:val="24"/>
          <w:szCs w:val="24"/>
        </w:rPr>
        <w:t xml:space="preserve"> grade</w:t>
      </w:r>
      <w:r w:rsidR="003B2200" w:rsidRPr="00754733">
        <w:rPr>
          <w:sz w:val="24"/>
          <w:szCs w:val="24"/>
        </w:rPr>
        <w:t>,</w:t>
      </w:r>
      <w:r w:rsidR="00A16C2F" w:rsidRPr="00754733">
        <w:rPr>
          <w:sz w:val="24"/>
          <w:szCs w:val="24"/>
        </w:rPr>
        <w:t xml:space="preserve"> </w:t>
      </w:r>
      <w:r w:rsidR="005A4458" w:rsidRPr="00754733">
        <w:rPr>
          <w:sz w:val="24"/>
          <w:szCs w:val="24"/>
        </w:rPr>
        <w:t>was central to</w:t>
      </w:r>
      <w:r w:rsidR="00A16C2F" w:rsidRPr="00754733">
        <w:rPr>
          <w:sz w:val="24"/>
          <w:szCs w:val="24"/>
        </w:rPr>
        <w:t xml:space="preserve"> the position of </w:t>
      </w:r>
      <w:r w:rsidR="005A4458" w:rsidRPr="00754733">
        <w:rPr>
          <w:sz w:val="24"/>
          <w:szCs w:val="24"/>
        </w:rPr>
        <w:t>keeping it on the children’s shelves</w:t>
      </w:r>
      <w:r w:rsidR="00417023" w:rsidRPr="00754733">
        <w:rPr>
          <w:sz w:val="24"/>
          <w:szCs w:val="24"/>
        </w:rPr>
        <w:t xml:space="preserve"> and</w:t>
      </w:r>
      <w:r w:rsidR="00614220" w:rsidRPr="00754733">
        <w:rPr>
          <w:sz w:val="24"/>
          <w:szCs w:val="24"/>
        </w:rPr>
        <w:t xml:space="preserve"> a possible </w:t>
      </w:r>
      <w:r w:rsidR="00EB7DC5">
        <w:rPr>
          <w:sz w:val="24"/>
          <w:szCs w:val="24"/>
        </w:rPr>
        <w:t>shift</w:t>
      </w:r>
      <w:r w:rsidR="00417023" w:rsidRPr="00754733">
        <w:rPr>
          <w:sz w:val="24"/>
          <w:szCs w:val="24"/>
        </w:rPr>
        <w:t xml:space="preserve"> to Tween</w:t>
      </w:r>
      <w:r w:rsidR="00700912" w:rsidRPr="00754733">
        <w:rPr>
          <w:sz w:val="24"/>
          <w:szCs w:val="24"/>
        </w:rPr>
        <w:t>, which is</w:t>
      </w:r>
      <w:r w:rsidR="00417023" w:rsidRPr="00754733">
        <w:rPr>
          <w:sz w:val="24"/>
          <w:szCs w:val="24"/>
        </w:rPr>
        <w:t xml:space="preserve"> still in the children’s section</w:t>
      </w:r>
      <w:r w:rsidR="00137AD5" w:rsidRPr="00754733">
        <w:rPr>
          <w:sz w:val="24"/>
          <w:szCs w:val="24"/>
        </w:rPr>
        <w:t>,</w:t>
      </w:r>
      <w:r w:rsidR="00614220" w:rsidRPr="00754733">
        <w:rPr>
          <w:sz w:val="24"/>
          <w:szCs w:val="24"/>
        </w:rPr>
        <w:t xml:space="preserve"> but is aimed at children in 4</w:t>
      </w:r>
      <w:r w:rsidR="00614220" w:rsidRPr="00754733">
        <w:rPr>
          <w:sz w:val="24"/>
          <w:szCs w:val="24"/>
          <w:vertAlign w:val="superscript"/>
        </w:rPr>
        <w:t>th</w:t>
      </w:r>
      <w:r w:rsidR="00614220" w:rsidRPr="00754733">
        <w:rPr>
          <w:sz w:val="24"/>
          <w:szCs w:val="24"/>
        </w:rPr>
        <w:t xml:space="preserve"> to 6</w:t>
      </w:r>
      <w:r w:rsidR="00614220" w:rsidRPr="00754733">
        <w:rPr>
          <w:sz w:val="24"/>
          <w:szCs w:val="24"/>
          <w:vertAlign w:val="superscript"/>
        </w:rPr>
        <w:t>th</w:t>
      </w:r>
      <w:r w:rsidR="00614220" w:rsidRPr="00754733">
        <w:rPr>
          <w:sz w:val="24"/>
          <w:szCs w:val="24"/>
        </w:rPr>
        <w:t xml:space="preserve"> grade</w:t>
      </w:r>
      <w:r w:rsidR="00064C45" w:rsidRPr="00754733">
        <w:rPr>
          <w:sz w:val="24"/>
          <w:szCs w:val="24"/>
        </w:rPr>
        <w:t xml:space="preserve">, a perfect fit for </w:t>
      </w:r>
      <w:r w:rsidR="00064C45" w:rsidRPr="00754733">
        <w:rPr>
          <w:i/>
          <w:iCs/>
          <w:sz w:val="24"/>
          <w:szCs w:val="24"/>
        </w:rPr>
        <w:t>The Higher Power of Lucky</w:t>
      </w:r>
      <w:r w:rsidR="005B4F9C" w:rsidRPr="00754733">
        <w:rPr>
          <w:sz w:val="24"/>
          <w:szCs w:val="24"/>
        </w:rPr>
        <w:t>. This fit</w:t>
      </w:r>
      <w:r w:rsidR="00064C45" w:rsidRPr="00754733">
        <w:rPr>
          <w:sz w:val="24"/>
          <w:szCs w:val="24"/>
        </w:rPr>
        <w:t xml:space="preserve"> in with Whelan’s idea of </w:t>
      </w:r>
      <w:r w:rsidR="005C175C" w:rsidRPr="00754733">
        <w:rPr>
          <w:sz w:val="24"/>
          <w:szCs w:val="24"/>
        </w:rPr>
        <w:t>age-appropriate</w:t>
      </w:r>
      <w:r w:rsidR="00064C45" w:rsidRPr="00754733">
        <w:rPr>
          <w:sz w:val="24"/>
          <w:szCs w:val="24"/>
        </w:rPr>
        <w:t xml:space="preserve"> </w:t>
      </w:r>
      <w:r w:rsidR="00124839" w:rsidRPr="00754733">
        <w:rPr>
          <w:sz w:val="24"/>
          <w:szCs w:val="24"/>
        </w:rPr>
        <w:t xml:space="preserve">materials being available. </w:t>
      </w:r>
    </w:p>
    <w:sectPr w:rsidR="00F52410" w:rsidRPr="00754733">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DDE0C" w14:textId="77777777" w:rsidR="009C38C8" w:rsidRDefault="009C38C8" w:rsidP="00C643D0">
      <w:pPr>
        <w:spacing w:after="0" w:line="240" w:lineRule="auto"/>
      </w:pPr>
      <w:r>
        <w:separator/>
      </w:r>
    </w:p>
  </w:endnote>
  <w:endnote w:type="continuationSeparator" w:id="0">
    <w:p w14:paraId="7A5E3DA6" w14:textId="77777777" w:rsidR="009C38C8" w:rsidRDefault="009C38C8" w:rsidP="00C6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E1E98" w14:textId="77777777" w:rsidR="009C38C8" w:rsidRDefault="009C38C8" w:rsidP="00C643D0">
      <w:pPr>
        <w:spacing w:after="0" w:line="240" w:lineRule="auto"/>
      </w:pPr>
      <w:r>
        <w:separator/>
      </w:r>
    </w:p>
  </w:footnote>
  <w:footnote w:type="continuationSeparator" w:id="0">
    <w:p w14:paraId="5750E933" w14:textId="77777777" w:rsidR="009C38C8" w:rsidRDefault="009C38C8" w:rsidP="00C64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466125"/>
      <w:docPartObj>
        <w:docPartGallery w:val="Page Numbers (Top of Page)"/>
        <w:docPartUnique/>
      </w:docPartObj>
    </w:sdtPr>
    <w:sdtEndPr>
      <w:rPr>
        <w:noProof/>
      </w:rPr>
    </w:sdtEndPr>
    <w:sdtContent>
      <w:p w14:paraId="4A41DFEC" w14:textId="759BDA84" w:rsidR="00C643D0" w:rsidRDefault="00C643D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D23610" w14:textId="77777777" w:rsidR="00C643D0" w:rsidRDefault="00C64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AA3"/>
    <w:multiLevelType w:val="hybridMultilevel"/>
    <w:tmpl w:val="020870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B3103"/>
    <w:multiLevelType w:val="multilevel"/>
    <w:tmpl w:val="0D46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AE6041"/>
    <w:multiLevelType w:val="multilevel"/>
    <w:tmpl w:val="E9CC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9A6E88"/>
    <w:multiLevelType w:val="multilevel"/>
    <w:tmpl w:val="4134E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B969D0"/>
    <w:multiLevelType w:val="multilevel"/>
    <w:tmpl w:val="5CF0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C6"/>
    <w:rsid w:val="00000528"/>
    <w:rsid w:val="00001F34"/>
    <w:rsid w:val="000039A5"/>
    <w:rsid w:val="000151FD"/>
    <w:rsid w:val="00015425"/>
    <w:rsid w:val="000163E1"/>
    <w:rsid w:val="00025D6A"/>
    <w:rsid w:val="00033253"/>
    <w:rsid w:val="000423D3"/>
    <w:rsid w:val="000428A0"/>
    <w:rsid w:val="00046A66"/>
    <w:rsid w:val="000476F3"/>
    <w:rsid w:val="0005159D"/>
    <w:rsid w:val="00054E0B"/>
    <w:rsid w:val="00060B54"/>
    <w:rsid w:val="00061570"/>
    <w:rsid w:val="00061C67"/>
    <w:rsid w:val="000622EC"/>
    <w:rsid w:val="0006310F"/>
    <w:rsid w:val="00063F22"/>
    <w:rsid w:val="00064C45"/>
    <w:rsid w:val="000650EE"/>
    <w:rsid w:val="000653CC"/>
    <w:rsid w:val="000656E1"/>
    <w:rsid w:val="000815A7"/>
    <w:rsid w:val="000854FD"/>
    <w:rsid w:val="00091FA3"/>
    <w:rsid w:val="00095930"/>
    <w:rsid w:val="000A0CEB"/>
    <w:rsid w:val="000A35E6"/>
    <w:rsid w:val="000B07B5"/>
    <w:rsid w:val="000B29A8"/>
    <w:rsid w:val="000B6CAE"/>
    <w:rsid w:val="000C1B94"/>
    <w:rsid w:val="000C213F"/>
    <w:rsid w:val="000C521A"/>
    <w:rsid w:val="000C584E"/>
    <w:rsid w:val="000C606D"/>
    <w:rsid w:val="000C6EB5"/>
    <w:rsid w:val="000D2292"/>
    <w:rsid w:val="000D2346"/>
    <w:rsid w:val="000D23A6"/>
    <w:rsid w:val="000E0B74"/>
    <w:rsid w:val="000E44DF"/>
    <w:rsid w:val="000E44F6"/>
    <w:rsid w:val="00104486"/>
    <w:rsid w:val="00105A59"/>
    <w:rsid w:val="00111961"/>
    <w:rsid w:val="0011611B"/>
    <w:rsid w:val="00120A92"/>
    <w:rsid w:val="001247CC"/>
    <w:rsid w:val="00124839"/>
    <w:rsid w:val="00125A85"/>
    <w:rsid w:val="001313A9"/>
    <w:rsid w:val="001332A8"/>
    <w:rsid w:val="00137AD5"/>
    <w:rsid w:val="0014155A"/>
    <w:rsid w:val="001427CF"/>
    <w:rsid w:val="00144035"/>
    <w:rsid w:val="00146813"/>
    <w:rsid w:val="00152EEC"/>
    <w:rsid w:val="001559A9"/>
    <w:rsid w:val="0015725D"/>
    <w:rsid w:val="0016556B"/>
    <w:rsid w:val="0016600A"/>
    <w:rsid w:val="001669F4"/>
    <w:rsid w:val="00172B33"/>
    <w:rsid w:val="0017363E"/>
    <w:rsid w:val="00182526"/>
    <w:rsid w:val="001846D8"/>
    <w:rsid w:val="001868B3"/>
    <w:rsid w:val="00187A04"/>
    <w:rsid w:val="00187B4D"/>
    <w:rsid w:val="001920D5"/>
    <w:rsid w:val="00197FDC"/>
    <w:rsid w:val="001A213F"/>
    <w:rsid w:val="001A25C4"/>
    <w:rsid w:val="001A5A1F"/>
    <w:rsid w:val="001A5DC9"/>
    <w:rsid w:val="001A77A7"/>
    <w:rsid w:val="001B070B"/>
    <w:rsid w:val="001B72BD"/>
    <w:rsid w:val="001B76BC"/>
    <w:rsid w:val="001C03E3"/>
    <w:rsid w:val="001C1014"/>
    <w:rsid w:val="001D0A9C"/>
    <w:rsid w:val="001D1B3B"/>
    <w:rsid w:val="001D7298"/>
    <w:rsid w:val="001D77E2"/>
    <w:rsid w:val="001E107C"/>
    <w:rsid w:val="001E4F48"/>
    <w:rsid w:val="001E5B18"/>
    <w:rsid w:val="001F16C3"/>
    <w:rsid w:val="001F7F1D"/>
    <w:rsid w:val="0020128D"/>
    <w:rsid w:val="00201B92"/>
    <w:rsid w:val="00211B1B"/>
    <w:rsid w:val="00211C2A"/>
    <w:rsid w:val="00216BE7"/>
    <w:rsid w:val="002214E7"/>
    <w:rsid w:val="0022304F"/>
    <w:rsid w:val="002231C2"/>
    <w:rsid w:val="00223460"/>
    <w:rsid w:val="00225A76"/>
    <w:rsid w:val="00232CA5"/>
    <w:rsid w:val="0023328E"/>
    <w:rsid w:val="00234070"/>
    <w:rsid w:val="00235775"/>
    <w:rsid w:val="00242A93"/>
    <w:rsid w:val="002538B3"/>
    <w:rsid w:val="00256BFB"/>
    <w:rsid w:val="00257E80"/>
    <w:rsid w:val="00265607"/>
    <w:rsid w:val="0027244B"/>
    <w:rsid w:val="00275C43"/>
    <w:rsid w:val="00281A9D"/>
    <w:rsid w:val="00281DC0"/>
    <w:rsid w:val="00282962"/>
    <w:rsid w:val="00293A5B"/>
    <w:rsid w:val="00294AE1"/>
    <w:rsid w:val="00294E90"/>
    <w:rsid w:val="002B297B"/>
    <w:rsid w:val="002C1137"/>
    <w:rsid w:val="002C1F7B"/>
    <w:rsid w:val="002C3A0F"/>
    <w:rsid w:val="002C560E"/>
    <w:rsid w:val="002C6A88"/>
    <w:rsid w:val="002D043B"/>
    <w:rsid w:val="002D0650"/>
    <w:rsid w:val="002D27BE"/>
    <w:rsid w:val="002D3C2A"/>
    <w:rsid w:val="002D481D"/>
    <w:rsid w:val="002D505B"/>
    <w:rsid w:val="002D681B"/>
    <w:rsid w:val="002D7961"/>
    <w:rsid w:val="002F1414"/>
    <w:rsid w:val="002F2CD8"/>
    <w:rsid w:val="002F4DD8"/>
    <w:rsid w:val="0030133A"/>
    <w:rsid w:val="0030240A"/>
    <w:rsid w:val="00305B80"/>
    <w:rsid w:val="003100A9"/>
    <w:rsid w:val="003122E2"/>
    <w:rsid w:val="00312781"/>
    <w:rsid w:val="003134FE"/>
    <w:rsid w:val="00314DA3"/>
    <w:rsid w:val="0032279B"/>
    <w:rsid w:val="00323FBB"/>
    <w:rsid w:val="0032409C"/>
    <w:rsid w:val="00324908"/>
    <w:rsid w:val="003257BB"/>
    <w:rsid w:val="00332AD7"/>
    <w:rsid w:val="00334B56"/>
    <w:rsid w:val="00336810"/>
    <w:rsid w:val="00341A49"/>
    <w:rsid w:val="00345226"/>
    <w:rsid w:val="00357B7C"/>
    <w:rsid w:val="00360AD1"/>
    <w:rsid w:val="0036404A"/>
    <w:rsid w:val="003650AF"/>
    <w:rsid w:val="003679E0"/>
    <w:rsid w:val="0037475C"/>
    <w:rsid w:val="00374A87"/>
    <w:rsid w:val="003750B2"/>
    <w:rsid w:val="00387F82"/>
    <w:rsid w:val="003A22DC"/>
    <w:rsid w:val="003A2D41"/>
    <w:rsid w:val="003A4530"/>
    <w:rsid w:val="003B2200"/>
    <w:rsid w:val="003C2BAB"/>
    <w:rsid w:val="003C39DF"/>
    <w:rsid w:val="003D28DE"/>
    <w:rsid w:val="003D315D"/>
    <w:rsid w:val="003D359B"/>
    <w:rsid w:val="003D79E0"/>
    <w:rsid w:val="003E1F8E"/>
    <w:rsid w:val="003E6655"/>
    <w:rsid w:val="00400029"/>
    <w:rsid w:val="0040117A"/>
    <w:rsid w:val="004036D4"/>
    <w:rsid w:val="00407738"/>
    <w:rsid w:val="00415B58"/>
    <w:rsid w:val="00417023"/>
    <w:rsid w:val="00417C5D"/>
    <w:rsid w:val="0042449F"/>
    <w:rsid w:val="00441A86"/>
    <w:rsid w:val="0044572E"/>
    <w:rsid w:val="00455335"/>
    <w:rsid w:val="00457610"/>
    <w:rsid w:val="00463277"/>
    <w:rsid w:val="004650F9"/>
    <w:rsid w:val="0046637E"/>
    <w:rsid w:val="00470289"/>
    <w:rsid w:val="00470F55"/>
    <w:rsid w:val="00472C17"/>
    <w:rsid w:val="00473D6C"/>
    <w:rsid w:val="004755D9"/>
    <w:rsid w:val="004803DA"/>
    <w:rsid w:val="00480705"/>
    <w:rsid w:val="00480FE8"/>
    <w:rsid w:val="00481587"/>
    <w:rsid w:val="00493B27"/>
    <w:rsid w:val="004A3076"/>
    <w:rsid w:val="004A5D75"/>
    <w:rsid w:val="004A6842"/>
    <w:rsid w:val="004B13DD"/>
    <w:rsid w:val="004B3478"/>
    <w:rsid w:val="004B362E"/>
    <w:rsid w:val="004C13E9"/>
    <w:rsid w:val="004C5FDE"/>
    <w:rsid w:val="004C6CD7"/>
    <w:rsid w:val="004D0622"/>
    <w:rsid w:val="004D0D19"/>
    <w:rsid w:val="004D1B6D"/>
    <w:rsid w:val="004D368A"/>
    <w:rsid w:val="004D5792"/>
    <w:rsid w:val="004D711B"/>
    <w:rsid w:val="004E008E"/>
    <w:rsid w:val="004E0C95"/>
    <w:rsid w:val="004E53E6"/>
    <w:rsid w:val="004F08C2"/>
    <w:rsid w:val="004F4ECE"/>
    <w:rsid w:val="004F6172"/>
    <w:rsid w:val="004F617C"/>
    <w:rsid w:val="00504747"/>
    <w:rsid w:val="00507CCC"/>
    <w:rsid w:val="005173BA"/>
    <w:rsid w:val="00526D77"/>
    <w:rsid w:val="00526F21"/>
    <w:rsid w:val="00527EFC"/>
    <w:rsid w:val="00531095"/>
    <w:rsid w:val="00533F54"/>
    <w:rsid w:val="00536B84"/>
    <w:rsid w:val="005405D6"/>
    <w:rsid w:val="005573F9"/>
    <w:rsid w:val="00564AB2"/>
    <w:rsid w:val="00572668"/>
    <w:rsid w:val="00575DFB"/>
    <w:rsid w:val="00576E18"/>
    <w:rsid w:val="00586102"/>
    <w:rsid w:val="005919A5"/>
    <w:rsid w:val="00596000"/>
    <w:rsid w:val="005978BB"/>
    <w:rsid w:val="005A2153"/>
    <w:rsid w:val="005A4458"/>
    <w:rsid w:val="005A740E"/>
    <w:rsid w:val="005B00E3"/>
    <w:rsid w:val="005B4F9C"/>
    <w:rsid w:val="005B73B6"/>
    <w:rsid w:val="005C175C"/>
    <w:rsid w:val="005C2E35"/>
    <w:rsid w:val="005C462B"/>
    <w:rsid w:val="005C5630"/>
    <w:rsid w:val="005C6E33"/>
    <w:rsid w:val="005C78A8"/>
    <w:rsid w:val="005D1D7F"/>
    <w:rsid w:val="005D2973"/>
    <w:rsid w:val="005D7129"/>
    <w:rsid w:val="005F138A"/>
    <w:rsid w:val="005F3480"/>
    <w:rsid w:val="005F41E2"/>
    <w:rsid w:val="005F6291"/>
    <w:rsid w:val="00600731"/>
    <w:rsid w:val="00603269"/>
    <w:rsid w:val="00603354"/>
    <w:rsid w:val="006079AF"/>
    <w:rsid w:val="00610274"/>
    <w:rsid w:val="00612B3C"/>
    <w:rsid w:val="00614220"/>
    <w:rsid w:val="00614A6E"/>
    <w:rsid w:val="006203C0"/>
    <w:rsid w:val="00625A46"/>
    <w:rsid w:val="006269DB"/>
    <w:rsid w:val="00631462"/>
    <w:rsid w:val="00631E7A"/>
    <w:rsid w:val="00632B02"/>
    <w:rsid w:val="006338F7"/>
    <w:rsid w:val="00634429"/>
    <w:rsid w:val="006360B2"/>
    <w:rsid w:val="0064064E"/>
    <w:rsid w:val="00641494"/>
    <w:rsid w:val="006528E4"/>
    <w:rsid w:val="00653763"/>
    <w:rsid w:val="00656EFF"/>
    <w:rsid w:val="00657827"/>
    <w:rsid w:val="00665EFF"/>
    <w:rsid w:val="0067072F"/>
    <w:rsid w:val="006710F4"/>
    <w:rsid w:val="006722FD"/>
    <w:rsid w:val="00675704"/>
    <w:rsid w:val="006757AB"/>
    <w:rsid w:val="006804EE"/>
    <w:rsid w:val="00682A15"/>
    <w:rsid w:val="006864F0"/>
    <w:rsid w:val="00687A4C"/>
    <w:rsid w:val="00694607"/>
    <w:rsid w:val="00696953"/>
    <w:rsid w:val="00697D50"/>
    <w:rsid w:val="006A062D"/>
    <w:rsid w:val="006A35C6"/>
    <w:rsid w:val="006A4776"/>
    <w:rsid w:val="006B0780"/>
    <w:rsid w:val="006B4FFA"/>
    <w:rsid w:val="006B621A"/>
    <w:rsid w:val="006B69F5"/>
    <w:rsid w:val="006B7DBF"/>
    <w:rsid w:val="006C0EF5"/>
    <w:rsid w:val="006C5707"/>
    <w:rsid w:val="006C772A"/>
    <w:rsid w:val="006D1A60"/>
    <w:rsid w:val="006D68BB"/>
    <w:rsid w:val="006D7F94"/>
    <w:rsid w:val="006E4B1D"/>
    <w:rsid w:val="006F1052"/>
    <w:rsid w:val="006F2E38"/>
    <w:rsid w:val="006F371B"/>
    <w:rsid w:val="006F4796"/>
    <w:rsid w:val="006F6543"/>
    <w:rsid w:val="006F6EDE"/>
    <w:rsid w:val="00700912"/>
    <w:rsid w:val="00705B65"/>
    <w:rsid w:val="007105BE"/>
    <w:rsid w:val="007106A0"/>
    <w:rsid w:val="0071257D"/>
    <w:rsid w:val="00713EBD"/>
    <w:rsid w:val="00724D39"/>
    <w:rsid w:val="00724F74"/>
    <w:rsid w:val="0072539E"/>
    <w:rsid w:val="00725768"/>
    <w:rsid w:val="0072580C"/>
    <w:rsid w:val="007303AA"/>
    <w:rsid w:val="00733F21"/>
    <w:rsid w:val="00737FC1"/>
    <w:rsid w:val="00741D80"/>
    <w:rsid w:val="00754733"/>
    <w:rsid w:val="00755006"/>
    <w:rsid w:val="00755725"/>
    <w:rsid w:val="00756CC2"/>
    <w:rsid w:val="0076228A"/>
    <w:rsid w:val="00763FBD"/>
    <w:rsid w:val="00770A25"/>
    <w:rsid w:val="00772B8D"/>
    <w:rsid w:val="007743DD"/>
    <w:rsid w:val="00776D89"/>
    <w:rsid w:val="00781AB9"/>
    <w:rsid w:val="00790236"/>
    <w:rsid w:val="00793EA4"/>
    <w:rsid w:val="007950FC"/>
    <w:rsid w:val="00797818"/>
    <w:rsid w:val="007A55C4"/>
    <w:rsid w:val="007A5DA0"/>
    <w:rsid w:val="007B02A3"/>
    <w:rsid w:val="007B6B66"/>
    <w:rsid w:val="007B7E00"/>
    <w:rsid w:val="007C1B56"/>
    <w:rsid w:val="007C3599"/>
    <w:rsid w:val="007C3AA4"/>
    <w:rsid w:val="007C57F5"/>
    <w:rsid w:val="007C5E9F"/>
    <w:rsid w:val="007D0464"/>
    <w:rsid w:val="007D061D"/>
    <w:rsid w:val="007D2229"/>
    <w:rsid w:val="007D267C"/>
    <w:rsid w:val="007D34A9"/>
    <w:rsid w:val="007D5B6E"/>
    <w:rsid w:val="007E1B1F"/>
    <w:rsid w:val="007E7E45"/>
    <w:rsid w:val="007F11F1"/>
    <w:rsid w:val="007F268B"/>
    <w:rsid w:val="007F414E"/>
    <w:rsid w:val="007F5653"/>
    <w:rsid w:val="00800ABA"/>
    <w:rsid w:val="0081079E"/>
    <w:rsid w:val="008110BA"/>
    <w:rsid w:val="00813D1D"/>
    <w:rsid w:val="00827AC3"/>
    <w:rsid w:val="00831730"/>
    <w:rsid w:val="00833EC9"/>
    <w:rsid w:val="0083481C"/>
    <w:rsid w:val="00836F49"/>
    <w:rsid w:val="00837D6A"/>
    <w:rsid w:val="0084036D"/>
    <w:rsid w:val="00841662"/>
    <w:rsid w:val="0084394B"/>
    <w:rsid w:val="008466F9"/>
    <w:rsid w:val="00846BB8"/>
    <w:rsid w:val="008474C8"/>
    <w:rsid w:val="008514BF"/>
    <w:rsid w:val="008525F8"/>
    <w:rsid w:val="008558BB"/>
    <w:rsid w:val="00863E2E"/>
    <w:rsid w:val="00865C9B"/>
    <w:rsid w:val="0086602D"/>
    <w:rsid w:val="00872019"/>
    <w:rsid w:val="0087408D"/>
    <w:rsid w:val="00874682"/>
    <w:rsid w:val="008747C6"/>
    <w:rsid w:val="00875D1B"/>
    <w:rsid w:val="00880FED"/>
    <w:rsid w:val="008829D6"/>
    <w:rsid w:val="00883BEF"/>
    <w:rsid w:val="0088433F"/>
    <w:rsid w:val="00886172"/>
    <w:rsid w:val="008863F3"/>
    <w:rsid w:val="008941FB"/>
    <w:rsid w:val="0089506D"/>
    <w:rsid w:val="008950D3"/>
    <w:rsid w:val="008A39DA"/>
    <w:rsid w:val="008A5426"/>
    <w:rsid w:val="008A5C28"/>
    <w:rsid w:val="008B7216"/>
    <w:rsid w:val="008B7929"/>
    <w:rsid w:val="008C5363"/>
    <w:rsid w:val="008C58CC"/>
    <w:rsid w:val="008E0C63"/>
    <w:rsid w:val="008E5324"/>
    <w:rsid w:val="008E7D7F"/>
    <w:rsid w:val="008E7F2D"/>
    <w:rsid w:val="008F142A"/>
    <w:rsid w:val="008F16C6"/>
    <w:rsid w:val="008F39F4"/>
    <w:rsid w:val="008F4119"/>
    <w:rsid w:val="00900D49"/>
    <w:rsid w:val="00900E61"/>
    <w:rsid w:val="00910987"/>
    <w:rsid w:val="00911D12"/>
    <w:rsid w:val="009168A3"/>
    <w:rsid w:val="00920C10"/>
    <w:rsid w:val="00921E63"/>
    <w:rsid w:val="00926C9B"/>
    <w:rsid w:val="00933238"/>
    <w:rsid w:val="00933EA7"/>
    <w:rsid w:val="009342D9"/>
    <w:rsid w:val="00936C93"/>
    <w:rsid w:val="009407C8"/>
    <w:rsid w:val="00941AD2"/>
    <w:rsid w:val="00943CC2"/>
    <w:rsid w:val="009501BD"/>
    <w:rsid w:val="00952219"/>
    <w:rsid w:val="009533B4"/>
    <w:rsid w:val="009563FF"/>
    <w:rsid w:val="00956441"/>
    <w:rsid w:val="009619BD"/>
    <w:rsid w:val="009629B1"/>
    <w:rsid w:val="00965D82"/>
    <w:rsid w:val="00966B11"/>
    <w:rsid w:val="00966FB9"/>
    <w:rsid w:val="00971A1C"/>
    <w:rsid w:val="009759C0"/>
    <w:rsid w:val="00977DAA"/>
    <w:rsid w:val="00982A64"/>
    <w:rsid w:val="009841F5"/>
    <w:rsid w:val="00984986"/>
    <w:rsid w:val="00985850"/>
    <w:rsid w:val="00987743"/>
    <w:rsid w:val="00987E92"/>
    <w:rsid w:val="009907B9"/>
    <w:rsid w:val="009944E1"/>
    <w:rsid w:val="009948EB"/>
    <w:rsid w:val="009A07CE"/>
    <w:rsid w:val="009A0F37"/>
    <w:rsid w:val="009A6168"/>
    <w:rsid w:val="009A71EC"/>
    <w:rsid w:val="009B4465"/>
    <w:rsid w:val="009B64D2"/>
    <w:rsid w:val="009B6702"/>
    <w:rsid w:val="009C38C8"/>
    <w:rsid w:val="009C50C4"/>
    <w:rsid w:val="009D0574"/>
    <w:rsid w:val="009D2418"/>
    <w:rsid w:val="009E5453"/>
    <w:rsid w:val="009F03FC"/>
    <w:rsid w:val="009F1503"/>
    <w:rsid w:val="009F3D2B"/>
    <w:rsid w:val="009F5B19"/>
    <w:rsid w:val="009F6337"/>
    <w:rsid w:val="00A025F7"/>
    <w:rsid w:val="00A04021"/>
    <w:rsid w:val="00A0615A"/>
    <w:rsid w:val="00A14BAB"/>
    <w:rsid w:val="00A16C2F"/>
    <w:rsid w:val="00A17C68"/>
    <w:rsid w:val="00A233AA"/>
    <w:rsid w:val="00A27308"/>
    <w:rsid w:val="00A315DC"/>
    <w:rsid w:val="00A35101"/>
    <w:rsid w:val="00A35658"/>
    <w:rsid w:val="00A35ED6"/>
    <w:rsid w:val="00A41106"/>
    <w:rsid w:val="00A430ED"/>
    <w:rsid w:val="00A618C6"/>
    <w:rsid w:val="00A6280A"/>
    <w:rsid w:val="00A6288A"/>
    <w:rsid w:val="00A63B47"/>
    <w:rsid w:val="00A72BDC"/>
    <w:rsid w:val="00A802E0"/>
    <w:rsid w:val="00A82393"/>
    <w:rsid w:val="00A84AD3"/>
    <w:rsid w:val="00A91ACF"/>
    <w:rsid w:val="00AA01E0"/>
    <w:rsid w:val="00AA0684"/>
    <w:rsid w:val="00AA5E12"/>
    <w:rsid w:val="00AA64CC"/>
    <w:rsid w:val="00AB0E74"/>
    <w:rsid w:val="00AB185B"/>
    <w:rsid w:val="00AB311D"/>
    <w:rsid w:val="00AB550C"/>
    <w:rsid w:val="00AC7E09"/>
    <w:rsid w:val="00AD4A4A"/>
    <w:rsid w:val="00AE20A9"/>
    <w:rsid w:val="00AE3B34"/>
    <w:rsid w:val="00AE5C00"/>
    <w:rsid w:val="00AF102E"/>
    <w:rsid w:val="00AF2A3B"/>
    <w:rsid w:val="00AF7618"/>
    <w:rsid w:val="00B028F9"/>
    <w:rsid w:val="00B06446"/>
    <w:rsid w:val="00B07F09"/>
    <w:rsid w:val="00B12533"/>
    <w:rsid w:val="00B24660"/>
    <w:rsid w:val="00B26633"/>
    <w:rsid w:val="00B3033C"/>
    <w:rsid w:val="00B36727"/>
    <w:rsid w:val="00B40745"/>
    <w:rsid w:val="00B4729D"/>
    <w:rsid w:val="00B47F37"/>
    <w:rsid w:val="00B53CE1"/>
    <w:rsid w:val="00B54676"/>
    <w:rsid w:val="00B62B7D"/>
    <w:rsid w:val="00B65032"/>
    <w:rsid w:val="00B667C8"/>
    <w:rsid w:val="00B80832"/>
    <w:rsid w:val="00B80AB0"/>
    <w:rsid w:val="00B81421"/>
    <w:rsid w:val="00B92D80"/>
    <w:rsid w:val="00B94AC3"/>
    <w:rsid w:val="00BA26E4"/>
    <w:rsid w:val="00BA4CFB"/>
    <w:rsid w:val="00BA4F38"/>
    <w:rsid w:val="00BA6332"/>
    <w:rsid w:val="00BB1388"/>
    <w:rsid w:val="00BB1F06"/>
    <w:rsid w:val="00BC3C16"/>
    <w:rsid w:val="00BD1463"/>
    <w:rsid w:val="00BE2234"/>
    <w:rsid w:val="00BF74D3"/>
    <w:rsid w:val="00C03C03"/>
    <w:rsid w:val="00C0402E"/>
    <w:rsid w:val="00C130B5"/>
    <w:rsid w:val="00C13A1F"/>
    <w:rsid w:val="00C2509B"/>
    <w:rsid w:val="00C302F2"/>
    <w:rsid w:val="00C30952"/>
    <w:rsid w:val="00C30B9A"/>
    <w:rsid w:val="00C328D0"/>
    <w:rsid w:val="00C4276B"/>
    <w:rsid w:val="00C43BF0"/>
    <w:rsid w:val="00C4486D"/>
    <w:rsid w:val="00C4556B"/>
    <w:rsid w:val="00C4643E"/>
    <w:rsid w:val="00C47741"/>
    <w:rsid w:val="00C5105A"/>
    <w:rsid w:val="00C54571"/>
    <w:rsid w:val="00C54F79"/>
    <w:rsid w:val="00C567AD"/>
    <w:rsid w:val="00C61219"/>
    <w:rsid w:val="00C61C0F"/>
    <w:rsid w:val="00C6408C"/>
    <w:rsid w:val="00C643D0"/>
    <w:rsid w:val="00C83C36"/>
    <w:rsid w:val="00C86A4D"/>
    <w:rsid w:val="00C91777"/>
    <w:rsid w:val="00C9542A"/>
    <w:rsid w:val="00CA05B6"/>
    <w:rsid w:val="00CA12D4"/>
    <w:rsid w:val="00CA67F4"/>
    <w:rsid w:val="00CA7414"/>
    <w:rsid w:val="00CA7E9C"/>
    <w:rsid w:val="00CB02B1"/>
    <w:rsid w:val="00CB075F"/>
    <w:rsid w:val="00CB7DFB"/>
    <w:rsid w:val="00CC471E"/>
    <w:rsid w:val="00CD064B"/>
    <w:rsid w:val="00CD118E"/>
    <w:rsid w:val="00CD3635"/>
    <w:rsid w:val="00CD5D7D"/>
    <w:rsid w:val="00CE0736"/>
    <w:rsid w:val="00CE41FE"/>
    <w:rsid w:val="00CF0A98"/>
    <w:rsid w:val="00CF1D06"/>
    <w:rsid w:val="00CF3FD1"/>
    <w:rsid w:val="00D004AB"/>
    <w:rsid w:val="00D04AEB"/>
    <w:rsid w:val="00D107A1"/>
    <w:rsid w:val="00D13669"/>
    <w:rsid w:val="00D13BD3"/>
    <w:rsid w:val="00D206B4"/>
    <w:rsid w:val="00D22222"/>
    <w:rsid w:val="00D2343B"/>
    <w:rsid w:val="00D24748"/>
    <w:rsid w:val="00D265D9"/>
    <w:rsid w:val="00D27BD5"/>
    <w:rsid w:val="00D311D8"/>
    <w:rsid w:val="00D37986"/>
    <w:rsid w:val="00D41CC7"/>
    <w:rsid w:val="00D43271"/>
    <w:rsid w:val="00D53981"/>
    <w:rsid w:val="00D5507A"/>
    <w:rsid w:val="00D627B3"/>
    <w:rsid w:val="00D638F2"/>
    <w:rsid w:val="00D70DEC"/>
    <w:rsid w:val="00D715D6"/>
    <w:rsid w:val="00D75286"/>
    <w:rsid w:val="00D754B5"/>
    <w:rsid w:val="00D8144D"/>
    <w:rsid w:val="00D84B2E"/>
    <w:rsid w:val="00D92C3B"/>
    <w:rsid w:val="00DA1CEC"/>
    <w:rsid w:val="00DA6463"/>
    <w:rsid w:val="00DB02BE"/>
    <w:rsid w:val="00DB7978"/>
    <w:rsid w:val="00DC6243"/>
    <w:rsid w:val="00DD1E91"/>
    <w:rsid w:val="00DE0E4C"/>
    <w:rsid w:val="00DE3C69"/>
    <w:rsid w:val="00DE4E14"/>
    <w:rsid w:val="00DE6C82"/>
    <w:rsid w:val="00DF167F"/>
    <w:rsid w:val="00DF20DD"/>
    <w:rsid w:val="00DF6CE4"/>
    <w:rsid w:val="00E00F8A"/>
    <w:rsid w:val="00E03586"/>
    <w:rsid w:val="00E0400B"/>
    <w:rsid w:val="00E045F6"/>
    <w:rsid w:val="00E1042A"/>
    <w:rsid w:val="00E14ABC"/>
    <w:rsid w:val="00E14C05"/>
    <w:rsid w:val="00E14D44"/>
    <w:rsid w:val="00E23458"/>
    <w:rsid w:val="00E249E1"/>
    <w:rsid w:val="00E25D03"/>
    <w:rsid w:val="00E26BAA"/>
    <w:rsid w:val="00E331F7"/>
    <w:rsid w:val="00E351A7"/>
    <w:rsid w:val="00E46CC1"/>
    <w:rsid w:val="00E56717"/>
    <w:rsid w:val="00E60251"/>
    <w:rsid w:val="00E61637"/>
    <w:rsid w:val="00E63991"/>
    <w:rsid w:val="00E65062"/>
    <w:rsid w:val="00E67780"/>
    <w:rsid w:val="00E72499"/>
    <w:rsid w:val="00E739C5"/>
    <w:rsid w:val="00E75A9E"/>
    <w:rsid w:val="00E82A1E"/>
    <w:rsid w:val="00E96731"/>
    <w:rsid w:val="00EA4E09"/>
    <w:rsid w:val="00EB43F4"/>
    <w:rsid w:val="00EB6077"/>
    <w:rsid w:val="00EB793D"/>
    <w:rsid w:val="00EB7DC5"/>
    <w:rsid w:val="00EC14F0"/>
    <w:rsid w:val="00EC16B3"/>
    <w:rsid w:val="00EC1962"/>
    <w:rsid w:val="00EC5ADC"/>
    <w:rsid w:val="00EC79CD"/>
    <w:rsid w:val="00ED1061"/>
    <w:rsid w:val="00ED6D69"/>
    <w:rsid w:val="00ED6D8A"/>
    <w:rsid w:val="00EE23EC"/>
    <w:rsid w:val="00EE314D"/>
    <w:rsid w:val="00EE31DF"/>
    <w:rsid w:val="00EF42E8"/>
    <w:rsid w:val="00EF5937"/>
    <w:rsid w:val="00EF5DA7"/>
    <w:rsid w:val="00EF7522"/>
    <w:rsid w:val="00F02A4F"/>
    <w:rsid w:val="00F0300F"/>
    <w:rsid w:val="00F05B61"/>
    <w:rsid w:val="00F077BC"/>
    <w:rsid w:val="00F10D11"/>
    <w:rsid w:val="00F139A2"/>
    <w:rsid w:val="00F14E0C"/>
    <w:rsid w:val="00F16C01"/>
    <w:rsid w:val="00F20C36"/>
    <w:rsid w:val="00F2617B"/>
    <w:rsid w:val="00F323C8"/>
    <w:rsid w:val="00F35110"/>
    <w:rsid w:val="00F425A0"/>
    <w:rsid w:val="00F43382"/>
    <w:rsid w:val="00F51644"/>
    <w:rsid w:val="00F52410"/>
    <w:rsid w:val="00F54145"/>
    <w:rsid w:val="00F54DB0"/>
    <w:rsid w:val="00F55F50"/>
    <w:rsid w:val="00F56653"/>
    <w:rsid w:val="00F652D9"/>
    <w:rsid w:val="00F673DC"/>
    <w:rsid w:val="00F71848"/>
    <w:rsid w:val="00F7224C"/>
    <w:rsid w:val="00F731D3"/>
    <w:rsid w:val="00F8269A"/>
    <w:rsid w:val="00F82AA8"/>
    <w:rsid w:val="00F839CE"/>
    <w:rsid w:val="00F87E4F"/>
    <w:rsid w:val="00F9214F"/>
    <w:rsid w:val="00F963B1"/>
    <w:rsid w:val="00FA0AD5"/>
    <w:rsid w:val="00FA3007"/>
    <w:rsid w:val="00FA3794"/>
    <w:rsid w:val="00FB224F"/>
    <w:rsid w:val="00FC0243"/>
    <w:rsid w:val="00FC0EDE"/>
    <w:rsid w:val="00FC3DD7"/>
    <w:rsid w:val="00FC6A1D"/>
    <w:rsid w:val="00FD0B07"/>
    <w:rsid w:val="00FD0C70"/>
    <w:rsid w:val="00FD1AC9"/>
    <w:rsid w:val="00FD2639"/>
    <w:rsid w:val="00FD67A3"/>
    <w:rsid w:val="00FE00EF"/>
    <w:rsid w:val="00FE66D3"/>
    <w:rsid w:val="00FF3D45"/>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CE0A"/>
  <w15:chartTrackingRefBased/>
  <w15:docId w15:val="{C95EFA30-12FD-49C2-8D5B-DB58FE6D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79B"/>
    <w:rPr>
      <w:color w:val="0563C1" w:themeColor="hyperlink"/>
      <w:u w:val="single"/>
    </w:rPr>
  </w:style>
  <w:style w:type="character" w:styleId="UnresolvedMention">
    <w:name w:val="Unresolved Mention"/>
    <w:basedOn w:val="DefaultParagraphFont"/>
    <w:uiPriority w:val="99"/>
    <w:semiHidden/>
    <w:unhideWhenUsed/>
    <w:rsid w:val="0032279B"/>
    <w:rPr>
      <w:color w:val="605E5C"/>
      <w:shd w:val="clear" w:color="auto" w:fill="E1DFDD"/>
    </w:rPr>
  </w:style>
  <w:style w:type="character" w:styleId="FollowedHyperlink">
    <w:name w:val="FollowedHyperlink"/>
    <w:basedOn w:val="DefaultParagraphFont"/>
    <w:uiPriority w:val="99"/>
    <w:semiHidden/>
    <w:unhideWhenUsed/>
    <w:rsid w:val="005573F9"/>
    <w:rPr>
      <w:color w:val="954F72" w:themeColor="followedHyperlink"/>
      <w:u w:val="single"/>
    </w:rPr>
  </w:style>
  <w:style w:type="paragraph" w:styleId="NormalWeb">
    <w:name w:val="Normal (Web)"/>
    <w:basedOn w:val="Normal"/>
    <w:uiPriority w:val="99"/>
    <w:semiHidden/>
    <w:unhideWhenUsed/>
    <w:rsid w:val="003750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750B2"/>
    <w:rPr>
      <w:i/>
      <w:iCs/>
    </w:rPr>
  </w:style>
  <w:style w:type="character" w:styleId="Strong">
    <w:name w:val="Strong"/>
    <w:basedOn w:val="DefaultParagraphFont"/>
    <w:uiPriority w:val="22"/>
    <w:qFormat/>
    <w:rsid w:val="003750B2"/>
    <w:rPr>
      <w:b/>
      <w:bCs/>
    </w:rPr>
  </w:style>
  <w:style w:type="paragraph" w:styleId="ListParagraph">
    <w:name w:val="List Paragraph"/>
    <w:basedOn w:val="Normal"/>
    <w:uiPriority w:val="34"/>
    <w:qFormat/>
    <w:rsid w:val="00987743"/>
    <w:pPr>
      <w:ind w:left="720"/>
      <w:contextualSpacing/>
    </w:pPr>
  </w:style>
  <w:style w:type="paragraph" w:styleId="Header">
    <w:name w:val="header"/>
    <w:basedOn w:val="Normal"/>
    <w:link w:val="HeaderChar"/>
    <w:uiPriority w:val="99"/>
    <w:unhideWhenUsed/>
    <w:rsid w:val="00C64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3D0"/>
  </w:style>
  <w:style w:type="paragraph" w:styleId="Footer">
    <w:name w:val="footer"/>
    <w:basedOn w:val="Normal"/>
    <w:link w:val="FooterChar"/>
    <w:uiPriority w:val="99"/>
    <w:unhideWhenUsed/>
    <w:rsid w:val="00C64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2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i.org/10.1037/a0035601" TargetMode="External"/><Relationship Id="rId18" Type="http://schemas.openxmlformats.org/officeDocument/2006/relationships/hyperlink" Target="https://doi.org/10.1111/cfs.12080" TargetMode="External"/><Relationship Id="rId26" Type="http://schemas.openxmlformats.org/officeDocument/2006/relationships/hyperlink" Target="https://www.slj.com/?detailStory=a-dirty-little-secret-self-censorship" TargetMode="External"/><Relationship Id="rId3" Type="http://schemas.openxmlformats.org/officeDocument/2006/relationships/settings" Target="settings.xml"/><Relationship Id="rId21" Type="http://schemas.openxmlformats.org/officeDocument/2006/relationships/hyperlink" Target="https://www.merriam-webster.com/dictionary/scrotum" TargetMode="External"/><Relationship Id="rId34" Type="http://schemas.openxmlformats.org/officeDocument/2006/relationships/fontTable" Target="fontTable.xml"/><Relationship Id="rId7" Type="http://schemas.openxmlformats.org/officeDocument/2006/relationships/hyperlink" Target="https://www.ala.org/awardsgrants/content/higher-power-lucky" TargetMode="External"/><Relationship Id="rId12" Type="http://schemas.openxmlformats.org/officeDocument/2006/relationships/hyperlink" Target="https://cbexpress.acf.hhs.gov/index.cfm?event=website.viewArticles&amp;issueid=223&amp;articleid=5744" TargetMode="External"/><Relationship Id="rId17" Type="http://schemas.openxmlformats.org/officeDocument/2006/relationships/hyperlink" Target="https://henricolibrary.org/images/pdfs/CM_Policy_920_final.pdf" TargetMode="External"/><Relationship Id="rId25" Type="http://schemas.openxmlformats.org/officeDocument/2006/relationships/hyperlink" Target="https://shop.scholastic.com/parent-ecommerce/books/-9781416901945.htm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80/02702711.2020.1768983" TargetMode="External"/><Relationship Id="rId20" Type="http://schemas.openxmlformats.org/officeDocument/2006/relationships/hyperlink" Target="https://www.chicagotribune.com/news/breaking/ct-gay-pride-childrens-book-west-chicago-library-met-20170829-story.html" TargetMode="External"/><Relationship Id="rId29" Type="http://schemas.openxmlformats.org/officeDocument/2006/relationships/hyperlink" Target="https://doi.org/10.1177/00224871177511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f.hhs.gov/cb/report/child-maltreatment-2020" TargetMode="External"/><Relationship Id="rId24" Type="http://schemas.openxmlformats.org/officeDocument/2006/relationships/hyperlink" Target="https://www.scholastic.com/teachers/articles/teaching-content/great-books-summer/" TargetMode="External"/><Relationship Id="rId32" Type="http://schemas.openxmlformats.org/officeDocument/2006/relationships/hyperlink" Target="https://www.slj.com/?detailStory=a-dirty-little-secret-self-censorship" TargetMode="External"/><Relationship Id="rId5" Type="http://schemas.openxmlformats.org/officeDocument/2006/relationships/footnotes" Target="footnotes.xml"/><Relationship Id="rId15" Type="http://schemas.openxmlformats.org/officeDocument/2006/relationships/hyperlink" Target="https://doi.org/10.1177/0022487117751126" TargetMode="External"/><Relationship Id="rId23" Type="http://schemas.openxmlformats.org/officeDocument/2006/relationships/hyperlink" Target="https://web.p.ebscohost.com/novpk8/detail?vid=2&amp;sid=8521ada9-d0fa-4c71-a57c-242b470c791d%40redis&amp;bdata=JkF1dGhUeXBlPWNvb2tpZSxpcCxjcGlkJmN1c3RpZD1zODkxMjk5NyZzaXRlPW5vdnBrOC1saXZlJnNjb3BlPXNpdGU%3d" TargetMode="External"/><Relationship Id="rId28" Type="http://schemas.openxmlformats.org/officeDocument/2006/relationships/hyperlink" Target="http://doi.org/10.1037/a0035601" TargetMode="External"/><Relationship Id="rId10" Type="http://schemas.openxmlformats.org/officeDocument/2006/relationships/hyperlink" Target="https://www.theatlantic.com/health/archive/2013/04/the-case-for-teaching-kids-vagina-penis-and-vulva/274969/" TargetMode="External"/><Relationship Id="rId19" Type="http://schemas.openxmlformats.org/officeDocument/2006/relationships/hyperlink" Target="https://www.nytimes.com/2016/10/31/well/family/teaching-children-the-real-names-for-body-parts.html" TargetMode="External"/><Relationship Id="rId31" Type="http://schemas.openxmlformats.org/officeDocument/2006/relationships/hyperlink" Target="https://www.nytimes.com/2016/10/31/well/family/teaching-children-the-real-names-for-body-parts.html" TargetMode="External"/><Relationship Id="rId4" Type="http://schemas.openxmlformats.org/officeDocument/2006/relationships/webSettings" Target="webSettings.xml"/><Relationship Id="rId9" Type="http://schemas.openxmlformats.org/officeDocument/2006/relationships/hyperlink" Target="https://doi.org/10.1177/1524838017697312" TargetMode="External"/><Relationship Id="rId14" Type="http://schemas.openxmlformats.org/officeDocument/2006/relationships/hyperlink" Target="https://www-jstor-org.proxy.lib.odu.edu/stable/pdf/27795052.pdf?refreqid=excelsior%3A5b89943b920185421cc29aa2f752cec9&amp;ab_segments=&amp;origin=" TargetMode="External"/><Relationship Id="rId22" Type="http://schemas.openxmlformats.org/officeDocument/2006/relationships/hyperlink" Target="https://web-p-ebscohost-com.proxy.lib.odu.edu/ehost/detail/detail?vid=2&amp;sid=958d70b8-f8dc-44fe-8b60-308b56e340c3%40redis&amp;bdata=JnNjb3BlPXNpdGU%3d" TargetMode="External"/><Relationship Id="rId27" Type="http://schemas.openxmlformats.org/officeDocument/2006/relationships/hyperlink" Target="https://www.theatlantic.com/health/archive/2013/04/the-case-for-teaching-kids-vagina-penis-and-vulva/274969/" TargetMode="External"/><Relationship Id="rId30" Type="http://schemas.openxmlformats.org/officeDocument/2006/relationships/hyperlink" Target="https://doi.org/10.1080/02702711.2020.1768983" TargetMode="External"/><Relationship Id="rId35" Type="http://schemas.openxmlformats.org/officeDocument/2006/relationships/theme" Target="theme/theme1.xml"/><Relationship Id="rId8" Type="http://schemas.openxmlformats.org/officeDocument/2006/relationships/hyperlink" Target="https://www.ala.org/advocacy/intfreedom/library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1864</TotalTime>
  <Pages>12</Pages>
  <Words>3161</Words>
  <Characters>18019</Characters>
  <Application>Microsoft Office Word</Application>
  <DocSecurity>0</DocSecurity>
  <Lines>150</Lines>
  <Paragraphs>42</Paragraphs>
  <ScaleCrop>false</ScaleCrop>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Allen</dc:creator>
  <cp:keywords/>
  <dc:description/>
  <cp:lastModifiedBy>Tiffany Allen</cp:lastModifiedBy>
  <cp:revision>630</cp:revision>
  <dcterms:created xsi:type="dcterms:W3CDTF">2022-02-21T17:04:00Z</dcterms:created>
  <dcterms:modified xsi:type="dcterms:W3CDTF">2022-02-27T11:40:00Z</dcterms:modified>
</cp:coreProperties>
</file>