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Task A: Commands and Execution  </w:t>
      </w:r>
      <w:r w:rsidDel="00000000" w:rsidR="00000000" w:rsidRPr="00000000">
        <w:rPr/>
        <w:drawing>
          <wp:inline distB="114300" distT="114300" distL="114300" distR="114300">
            <wp:extent cx="5943600" cy="40005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9177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rtl w:val="0"/>
        </w:rPr>
        <w:t xml:space="preserve">Task B Commands and Execution: </w:t>
      </w:r>
      <w:r w:rsidDel="00000000" w:rsidR="00000000" w:rsidRPr="00000000">
        <w:rPr/>
        <w:drawing>
          <wp:inline distB="114300" distT="114300" distL="114300" distR="114300">
            <wp:extent cx="5943600" cy="23749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8575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  <w:t xml:space="preserve"> Extra Credit - </w:t>
      </w:r>
      <w:r w:rsidDel="00000000" w:rsidR="00000000" w:rsidRPr="00000000">
        <w:rPr/>
        <w:drawing>
          <wp:inline distB="114300" distT="114300" distL="114300" distR="114300">
            <wp:extent cx="5943600" cy="1955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2463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