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Policy Analysis: Ethical</w:t>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Alayzia Ricks</w:t>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Dominion University </w:t>
      </w:r>
    </w:p>
    <w:p w:rsidR="00000000" w:rsidDel="00000000" w:rsidP="00000000" w:rsidRDefault="00000000" w:rsidRPr="00000000" w14:paraId="0000000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CYSE 425W</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Hiser</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10/05/25</w:t>
      </w:r>
    </w:p>
    <w:p w:rsidR="00000000" w:rsidDel="00000000" w:rsidP="00000000" w:rsidRDefault="00000000" w:rsidRPr="00000000" w14:paraId="0000001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The National Institute of Standards and Technology’s (NIST) Cybersecurity Framework 2.0, released in 2024, expands on earlier versions to guide organizations in managing and mitigating cyber risks. The framework emphasizes flexibility, risk-based thinking, and governance as central pillars of responsible cybersecurity management. Its goal is to help institutions—both public and private—identify, protect, detect, respond to, and recover from digital threats in a structured and consistent way. Yet, beyond the technical dimension, the framework introduces profound ethical questions about fairness, privacy, accountability, and human rights in the digital age. Examining these dimensions reveals both the strengths and moral tensions embedded in CSF 2.0’s design and implementation.</w:t>
      </w:r>
    </w:p>
    <w:p w:rsidR="00000000" w:rsidDel="00000000" w:rsidP="00000000" w:rsidRDefault="00000000" w:rsidRPr="00000000" w14:paraId="0000001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benefits of adopting CSF 2.0 are considerable. It promotes proactive cybersecurity behavior by encouraging organizations to anticipate vulnerabilities before they become crises. This forward-looking approach aligns with ethical principles such as beneficence—doing good—and nonmaleficence—preventing harm. When implemented well, the framework minimizes data breaches, protects user privacy, and safeguards critical infrastructure. As Gordon and Loeb (2020) explain, the framework’s structure also supports informed investment decisions in cybersecurity, allowing organizations to weigh potential risks against economic costs. However, these benefits are not experienced equally across all entities. Smaller organizations and non-profits often face resource shortages that make it difficult to meet the same cybersecurity standards as large corporations. The resulting disparity raises ethical concerns about justice and equity: when cybersecurity becomes a privilege of wealthier institutions, the digital safety of smaller or underfunded entities—and their users—may be compromised.</w:t>
      </w:r>
    </w:p>
    <w:p w:rsidR="00000000" w:rsidDel="00000000" w:rsidP="00000000" w:rsidRDefault="00000000" w:rsidRPr="00000000" w14:paraId="0000001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Implementing CSF 2.0 also carries notable costs, not only in finances but in operational complexity. It demands trained personnel, new technology, and constant monitoring, all of which strain limited budgets. A study published in Decision Support Systems (2019) highlights that organizations under budget pressure tend to underinvest in detection and recovery systems, which can worsen the impact of attacks. This cost-benefit tension reflects a larger moral dilemma: while each organization may act rationally according to its budget, the collective result may leave society more vulnerable overall. Ethically, this problem mirrors the “tragedy of the commons” in digital form—where the pursuit of organizational efficiency can inadvertently endanger the shared digital ecosystem.</w:t>
      </w:r>
    </w:p>
    <w:p w:rsidR="00000000" w:rsidDel="00000000" w:rsidP="00000000" w:rsidRDefault="00000000" w:rsidRPr="00000000" w14:paraId="0000001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CSF 2.0 also intersects deeply with individual rights, regarding privacy and autonomy. The framework’s primary purpose is to protect sensitive data and maintain public trust, which supports the ethical duty to respect personal information. At the same time, many cybersecurity practices, such as real-time monitoring, behavioral analytics, and network surveillance, can infringe on these very rights if implemented without adequate safeguards. Rahimi Ardabili et al. (2022) argue that surveillance-oriented technologies designed to enhance security often carry hidden ethical costs when they monitor individuals without consent or transparency. Thus, while cybersecurity policies aim to protect people, they must also ensure that protection does not evolve into digital intrusion. Ethical data stewardship requires proportionality—security measures should match the level of risk without overreaching into people’s private lives.</w:t>
      </w:r>
    </w:p>
    <w:p w:rsidR="00000000" w:rsidDel="00000000" w:rsidP="00000000" w:rsidRDefault="00000000" w:rsidRPr="00000000" w14:paraId="0000001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additional ethical consideration arises from the risk-based nature of the framework. Because organizations must prioritize certain risks over others, not every vulnerability can be addressed equally. This prioritization, while practical, can lead to uneven protection across social and economic lines. Communities served by institutions with fewer resources—such as small clinics, local governments, or schools—may experience weaker cybersecurity safeguards, placing their populations at greater risk of data breaches. Burns et al. (2019) emphasize that cybersecurity decisions must consider the human element, not just the technical one. An ethical approach, therefore, requires ensuring that cybersecurity efforts promote inclusion, protect marginalized groups, and support equitable access to digital safety.</w:t>
      </w:r>
    </w:p>
    <w:p w:rsidR="00000000" w:rsidDel="00000000" w:rsidP="00000000" w:rsidRDefault="00000000" w:rsidRPr="00000000" w14:paraId="0000001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of the most ethically significant updates in CSF 2.0 is the introduction of the Govern function, which integrates cybersecurity into organizational leadership and accountability structures. This addition reflects a moral shift: cybersecurity is no longer a purely technical concern but an issue of ethical governance and public trust. By encouraging organizations to align cybersecurity objectives with their missions and stakeholder values, the framework embeds moral reasoning within operational strategy. However, as noted in Technology in Society (2020), the cybersecurity field often lacks consistent ethical oversight compared to other professional domains. Many organizations rely on internal codes rather than external accountability mechanisms, which can lead to inconsistencies in how ethical principles are applied. Because the NIST framework remains voluntary, its effectiveness depends largely on the moral commitment of individual organizations rather than enforceable standards.</w:t>
      </w:r>
    </w:p>
    <w:p w:rsidR="00000000" w:rsidDel="00000000" w:rsidP="00000000" w:rsidRDefault="00000000" w:rsidRPr="00000000" w14:paraId="0000001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Moreover, while economic models such as the Gordon–Loeb approach are useful for quantifying risk management, they rarely capture the intangible harms caused by cybersecurity failures. Emotional distress, reputational damage, and erosion of public trust cannot easily be measured in cost-benefit analyses, yet they represent significant ethical consequences. Ethical cybersecurity must therefore extend beyond financial efficiency to include human welfare, fairness, and respect for dignity.</w:t>
      </w:r>
    </w:p>
    <w:p w:rsidR="00000000" w:rsidDel="00000000" w:rsidP="00000000" w:rsidRDefault="00000000" w:rsidRPr="00000000" w14:paraId="0000001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summary, the NIST Cybersecurity Framework 2.0 represents a thoughtful and adaptable response to modern cyber risks. It fosters a culture of accountability, enhances resilience, and underscores the moral duty of organizations to protect their stakeholders. Nonetheless, ethical challenges persist—unequal access to resources, potential privacy intrusions, and insufficient oversight continue to complicate its implementation. To ensure that the framework fulfills both its technical and moral potential, organizations must approach cybersecurity not as a compliance checklist but as a commitment to ethical stewardship. This involves embedding principles of fairness, transparency, and proportionality into every level of decision-making. Ultimately, CSF 2.0 serves as more than a technical roadmap; it embodies a moral promise to uphold human dignity and digital trust in an increasingly connected world.</w:t>
      </w:r>
    </w:p>
    <w:p w:rsidR="00000000" w:rsidDel="00000000" w:rsidP="00000000" w:rsidRDefault="00000000" w:rsidRPr="00000000" w14:paraId="0000001F">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af1ld9rmq1c0" w:id="0"/>
      <w:bookmarkEnd w:id="0"/>
      <w:r w:rsidDel="00000000" w:rsidR="00000000" w:rsidRPr="00000000">
        <w:rPr>
          <w:rFonts w:ascii="Times New Roman" w:cs="Times New Roman" w:eastAsia="Times New Roman" w:hAnsi="Times New Roman"/>
          <w:b w:val="1"/>
          <w:color w:val="000000"/>
          <w:sz w:val="26"/>
          <w:szCs w:val="26"/>
          <w:rtl w:val="0"/>
        </w:rPr>
        <w:t xml:space="preserve">References</w:t>
      </w:r>
    </w:p>
    <w:p w:rsidR="00000000" w:rsidDel="00000000" w:rsidP="00000000" w:rsidRDefault="00000000" w:rsidRPr="00000000" w14:paraId="00000021">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Gordon, L. A., &amp; Loeb, M. P. (2020). Integrating cost–benefit analysis into the NIST Cybersecurity Framework via the Gordon–Loeb Model. </w:t>
      </w:r>
      <w:r w:rsidDel="00000000" w:rsidR="00000000" w:rsidRPr="00000000">
        <w:rPr>
          <w:rFonts w:ascii="Times New Roman" w:cs="Times New Roman" w:eastAsia="Times New Roman" w:hAnsi="Times New Roman"/>
          <w:i w:val="1"/>
          <w:sz w:val="24"/>
          <w:szCs w:val="24"/>
          <w:rtl w:val="0"/>
        </w:rPr>
        <w:t xml:space="preserve">Journal of Cybersecurity, 6</w:t>
      </w:r>
      <w:r w:rsidDel="00000000" w:rsidR="00000000" w:rsidRPr="00000000">
        <w:rPr>
          <w:rFonts w:ascii="Times New Roman" w:cs="Times New Roman" w:eastAsia="Times New Roman" w:hAnsi="Times New Roman"/>
          <w:sz w:val="24"/>
          <w:szCs w:val="24"/>
          <w:rtl w:val="0"/>
        </w:rPr>
        <w:t xml:space="preserve">(1), 1–11. https://doi.org/10.1093/cybersecurity/tyaa005</w:t>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Socially optimal IT investment for cybersecurity.</w:t>
      </w:r>
      <w:r w:rsidDel="00000000" w:rsidR="00000000" w:rsidRPr="00000000">
        <w:rPr>
          <w:rFonts w:ascii="Times New Roman" w:cs="Times New Roman" w:eastAsia="Times New Roman" w:hAnsi="Times New Roman"/>
          <w:sz w:val="24"/>
          <w:szCs w:val="24"/>
          <w:rtl w:val="0"/>
        </w:rPr>
        <w:t xml:space="preserve"> (2019). </w:t>
      </w:r>
      <w:r w:rsidDel="00000000" w:rsidR="00000000" w:rsidRPr="00000000">
        <w:rPr>
          <w:rFonts w:ascii="Times New Roman" w:cs="Times New Roman" w:eastAsia="Times New Roman" w:hAnsi="Times New Roman"/>
          <w:i w:val="1"/>
          <w:sz w:val="24"/>
          <w:szCs w:val="24"/>
          <w:rtl w:val="0"/>
        </w:rPr>
        <w:t xml:space="preserve">Decision Support Systems, 122</w:t>
      </w:r>
      <w:r w:rsidDel="00000000" w:rsidR="00000000" w:rsidRPr="00000000">
        <w:rPr>
          <w:rFonts w:ascii="Times New Roman" w:cs="Times New Roman" w:eastAsia="Times New Roman" w:hAnsi="Times New Roman"/>
          <w:sz w:val="24"/>
          <w:szCs w:val="24"/>
          <w:rtl w:val="0"/>
        </w:rPr>
        <w:t xml:space="preserve">, 113069. https://doi.org/10.1016/j.dss.2019.113069</w:t>
      </w:r>
    </w:p>
    <w:p w:rsidR="00000000" w:rsidDel="00000000" w:rsidP="00000000" w:rsidRDefault="00000000" w:rsidRPr="00000000" w14:paraId="00000023">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Rahimi Ardabili, B., Danesh Pazho, A., Alinezhad Noghre, G., Neff, C., Ravindran, A., &amp; Tabkhi, H. (2022). Understanding ethics, privacy, and regulations in smart video surveillance for public safety. </w:t>
      </w:r>
      <w:r w:rsidDel="00000000" w:rsidR="00000000" w:rsidRPr="00000000">
        <w:rPr>
          <w:rFonts w:ascii="Times New Roman" w:cs="Times New Roman" w:eastAsia="Times New Roman" w:hAnsi="Times New Roman"/>
          <w:i w:val="1"/>
          <w:sz w:val="24"/>
          <w:szCs w:val="24"/>
          <w:rtl w:val="0"/>
        </w:rPr>
        <w:t xml:space="preserve">arXiv preprint arXiv:2212.12936.</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https://arxiv.org/abs/2212.12936</w:t>
        </w:r>
      </w:hyperlink>
      <w:r w:rsidDel="00000000" w:rsidR="00000000" w:rsidRPr="00000000">
        <w:rPr>
          <w:rtl w:val="0"/>
        </w:rPr>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Burns, M., Manganelli, J., Wollman, D., Boring, R. L., Gilbert, S., Griffor, E., &amp; Smith-Jackson, T. (2019). Elaborating the human aspect of the NIST framework for cyber-physical systems. </w:t>
      </w:r>
      <w:r w:rsidDel="00000000" w:rsidR="00000000" w:rsidRPr="00000000">
        <w:rPr>
          <w:rFonts w:ascii="Times New Roman" w:cs="Times New Roman" w:eastAsia="Times New Roman" w:hAnsi="Times New Roman"/>
          <w:i w:val="1"/>
          <w:sz w:val="24"/>
          <w:szCs w:val="24"/>
          <w:rtl w:val="0"/>
        </w:rPr>
        <w:t xml:space="preserve">Proceedings of the Human Factors and Ergonomics Society Annual Meeting, 62</w:t>
      </w:r>
      <w:r w:rsidDel="00000000" w:rsidR="00000000" w:rsidRPr="00000000">
        <w:rPr>
          <w:rFonts w:ascii="Times New Roman" w:cs="Times New Roman" w:eastAsia="Times New Roman" w:hAnsi="Times New Roman"/>
          <w:sz w:val="24"/>
          <w:szCs w:val="24"/>
          <w:rtl w:val="0"/>
        </w:rPr>
        <w:t xml:space="preserve">(1), 450–454. </w:t>
      </w:r>
      <w:hyperlink r:id="rId7">
        <w:r w:rsidDel="00000000" w:rsidR="00000000" w:rsidRPr="00000000">
          <w:rPr>
            <w:rFonts w:ascii="Times New Roman" w:cs="Times New Roman" w:eastAsia="Times New Roman" w:hAnsi="Times New Roman"/>
            <w:color w:val="1155cc"/>
            <w:sz w:val="24"/>
            <w:szCs w:val="24"/>
            <w:u w:val="single"/>
            <w:rtl w:val="0"/>
          </w:rPr>
          <w:t xml:space="preserve">https://pmc.ncbi.nlm.nih.gov/articles/PMC6584959</w:t>
        </w:r>
      </w:hyperlink>
      <w:r w:rsidDel="00000000" w:rsidR="00000000" w:rsidRPr="00000000">
        <w:rPr>
          <w:rtl w:val="0"/>
        </w:rPr>
      </w:r>
    </w:p>
    <w:p w:rsidR="00000000" w:rsidDel="00000000" w:rsidP="00000000" w:rsidRDefault="00000000" w:rsidRPr="00000000" w14:paraId="00000025">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Ethics in cybersecurity research and practice.</w:t>
      </w:r>
      <w:r w:rsidDel="00000000" w:rsidR="00000000" w:rsidRPr="00000000">
        <w:rPr>
          <w:rFonts w:ascii="Times New Roman" w:cs="Times New Roman" w:eastAsia="Times New Roman" w:hAnsi="Times New Roman"/>
          <w:sz w:val="24"/>
          <w:szCs w:val="24"/>
          <w:rtl w:val="0"/>
        </w:rPr>
        <w:t xml:space="preserve"> (2020). </w:t>
      </w:r>
      <w:r w:rsidDel="00000000" w:rsidR="00000000" w:rsidRPr="00000000">
        <w:rPr>
          <w:rFonts w:ascii="Times New Roman" w:cs="Times New Roman" w:eastAsia="Times New Roman" w:hAnsi="Times New Roman"/>
          <w:i w:val="1"/>
          <w:sz w:val="24"/>
          <w:szCs w:val="24"/>
          <w:rtl w:val="0"/>
        </w:rPr>
        <w:t xml:space="preserve">Technology in Society, 63</w:t>
      </w:r>
      <w:r w:rsidDel="00000000" w:rsidR="00000000" w:rsidRPr="00000000">
        <w:rPr>
          <w:rFonts w:ascii="Times New Roman" w:cs="Times New Roman" w:eastAsia="Times New Roman" w:hAnsi="Times New Roman"/>
          <w:sz w:val="24"/>
          <w:szCs w:val="24"/>
          <w:rtl w:val="0"/>
        </w:rPr>
        <w:t xml:space="preserve">, 101382. https://doi.org/10.1016/j.techsoc.2020.101382</w:t>
      </w:r>
    </w:p>
    <w:p w:rsidR="00000000" w:rsidDel="00000000" w:rsidP="00000000" w:rsidRDefault="00000000" w:rsidRPr="00000000" w14:paraId="00000026">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NIST (Pascoe, C., Quinn, S., &amp; Scarfone, K.). (2024). </w:t>
      </w:r>
      <w:r w:rsidDel="00000000" w:rsidR="00000000" w:rsidRPr="00000000">
        <w:rPr>
          <w:rFonts w:ascii="Times New Roman" w:cs="Times New Roman" w:eastAsia="Times New Roman" w:hAnsi="Times New Roman"/>
          <w:i w:val="1"/>
          <w:sz w:val="24"/>
          <w:szCs w:val="24"/>
          <w:rtl w:val="0"/>
        </w:rPr>
        <w:t xml:space="preserve">The NIST Cybersecurity Framework (CSF) 2.0</w:t>
      </w:r>
      <w:r w:rsidDel="00000000" w:rsidR="00000000" w:rsidRPr="00000000">
        <w:rPr>
          <w:rFonts w:ascii="Times New Roman" w:cs="Times New Roman" w:eastAsia="Times New Roman" w:hAnsi="Times New Roman"/>
          <w:sz w:val="24"/>
          <w:szCs w:val="24"/>
          <w:rtl w:val="0"/>
        </w:rPr>
        <w:t xml:space="preserve"> (NIST Cybersecurity White Papers No. 29). National Institute of Standards and Technology. https://doi.org/10.6028/NIST.CSWP.29</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tl w:val="0"/>
        </w:rPr>
      </w:r>
    </w:p>
    <w:sectPr>
      <w:footerReference r:id="rId8" w:type="default"/>
      <w:footerReference r:id="rId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lef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rxiv.org/abs/2212.12936?utm_source=chatgpt.com" TargetMode="External"/><Relationship Id="rId7" Type="http://schemas.openxmlformats.org/officeDocument/2006/relationships/hyperlink" Target="https://pmc.ncbi.nlm.nih.gov/articles/PMC6584959?utm_source=chatgpt.com"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