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5A5F59" wp14:paraId="2C078E63" wp14:textId="1B6B3846">
      <w:pPr>
        <w:jc w:val="center"/>
      </w:pPr>
      <w:r w:rsidRPr="715A5F59" w:rsidR="00CF088E">
        <w:rPr>
          <w:b w:val="1"/>
          <w:bCs w:val="1"/>
        </w:rPr>
        <w:t>Annotated</w:t>
      </w:r>
      <w:r w:rsidRPr="715A5F59" w:rsidR="00CF088E">
        <w:rPr>
          <w:b w:val="1"/>
          <w:bCs w:val="1"/>
        </w:rPr>
        <w:t xml:space="preserve"> Bibliography</w:t>
      </w:r>
    </w:p>
    <w:p w:rsidR="485A1BDA" w:rsidP="715A5F59" w:rsidRDefault="485A1BDA" w14:paraId="19EF4CFD" w14:textId="76A205C6">
      <w:pPr>
        <w:spacing w:after="160" w:line="48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15A5F59" w:rsidR="485A1B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Mariska Suparman. (2023). The Constitution: A Blueprint for American Data Privacy Law. </w:t>
      </w:r>
      <w:r>
        <w:tab/>
      </w:r>
      <w:r w:rsidRPr="715A5F59" w:rsidR="485A1BD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Widener Law Review</w:t>
      </w:r>
      <w:r w:rsidRPr="715A5F59" w:rsidR="485A1B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15A5F59" w:rsidR="485A1BD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</w:t>
      </w:r>
      <w:r w:rsidRPr="715A5F59" w:rsidR="485A1B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(1), 71–96.</w:t>
      </w:r>
    </w:p>
    <w:p w:rsidR="6873C930" w:rsidP="715A5F59" w:rsidRDefault="6873C930" w14:paraId="231D87BE" w14:textId="75808219">
      <w:pPr>
        <w:spacing w:line="480" w:lineRule="auto"/>
        <w:jc w:val="left"/>
      </w:pPr>
      <w:r w:rsidR="6873C930">
        <w:rPr/>
        <w:t xml:space="preserve">Mariska reports on the growing concern of data privacy and protection, commenting on the current </w:t>
      </w:r>
      <w:r w:rsidR="6873C930">
        <w:rPr/>
        <w:t>state of affairs</w:t>
      </w:r>
      <w:r w:rsidR="6873C930">
        <w:rPr/>
        <w:t xml:space="preserve">, who is affected, and giving a </w:t>
      </w:r>
      <w:r w:rsidR="6873C930">
        <w:rPr/>
        <w:t>possible roadmap</w:t>
      </w:r>
      <w:r w:rsidR="6873C930">
        <w:rPr/>
        <w:t xml:space="preserve"> of </w:t>
      </w:r>
      <w:r w:rsidR="3A3CAF76">
        <w:rPr/>
        <w:t xml:space="preserve">how things could be improved using </w:t>
      </w:r>
      <w:r w:rsidR="0D39D675">
        <w:rPr/>
        <w:t>precedence</w:t>
      </w:r>
      <w:r w:rsidR="3A3CAF76">
        <w:rPr/>
        <w:t xml:space="preserve"> set in </w:t>
      </w:r>
      <w:r w:rsidR="2A6D2B9A">
        <w:rPr/>
        <w:t xml:space="preserve">different </w:t>
      </w:r>
      <w:r w:rsidR="2D72F29D">
        <w:rPr/>
        <w:t>jurisdictions</w:t>
      </w:r>
      <w:r w:rsidR="3A3CAF76">
        <w:rPr/>
        <w:t xml:space="preserve"> own</w:t>
      </w:r>
      <w:r w:rsidR="3A3CAF76">
        <w:rPr/>
        <w:t xml:space="preserve"> legislation</w:t>
      </w:r>
      <w:r w:rsidR="198D470C">
        <w:rPr/>
        <w:t xml:space="preserve"> such as the EU’s GDPR</w:t>
      </w:r>
      <w:r w:rsidR="3A3CAF76">
        <w:rPr/>
        <w:t xml:space="preserve">. </w:t>
      </w:r>
      <w:r w:rsidR="778DD574">
        <w:rPr/>
        <w:t xml:space="preserve">Mariska explores the consequences of poor data management </w:t>
      </w:r>
      <w:r w:rsidR="778DD574">
        <w:rPr/>
        <w:t>regarding</w:t>
      </w:r>
      <w:r w:rsidR="778DD574">
        <w:rPr/>
        <w:t xml:space="preserve"> privacy, its use cases for discrimination and identity theft, and consent of being tracked and collected data being disposed of.</w:t>
      </w:r>
      <w:r w:rsidR="0EE5F04B">
        <w:rPr/>
        <w:t xml:space="preserve"> </w:t>
      </w:r>
    </w:p>
    <w:p w:rsidR="32B37EA5" w:rsidP="715A5F59" w:rsidRDefault="32B37EA5" w14:paraId="347D5B62" w14:textId="1DA76F83">
      <w:pPr>
        <w:spacing w:after="160" w:line="48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15A5F59" w:rsidR="32B37E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MCNERNEY, B. (2022). Keep Your Fingerprints to Yourself: New York Needs a Biometric </w:t>
      </w:r>
      <w:r>
        <w:tab/>
      </w:r>
      <w:r w:rsidRPr="715A5F59" w:rsidR="32B37E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Privacy Law. St. John’s Law Review, 96(4), 1039–1070.</w:t>
      </w:r>
    </w:p>
    <w:p w:rsidR="32B37EA5" w:rsidP="715A5F59" w:rsidRDefault="32B37EA5" w14:paraId="7B6AE739" w14:textId="550895C9">
      <w:pPr>
        <w:spacing w:line="480" w:lineRule="auto"/>
        <w:jc w:val="left"/>
      </w:pPr>
      <w:r w:rsidR="32B37EA5">
        <w:rPr/>
        <w:t xml:space="preserve">Mcnerney reports on the rise of biometric identification technology and its wide </w:t>
      </w:r>
      <w:r w:rsidR="32B37EA5">
        <w:rPr/>
        <w:t>amount</w:t>
      </w:r>
      <w:r w:rsidR="32B37EA5">
        <w:rPr/>
        <w:t xml:space="preserve"> of use cases that have been popping up in recent years. He comments on the consequences of no</w:t>
      </w:r>
      <w:r w:rsidR="0F23DCEE">
        <w:rPr/>
        <w:t xml:space="preserve">t properly managing peoples biometric data stating the failures of current biometric technologies in correctly identifying individuals, the risk to </w:t>
      </w:r>
      <w:r w:rsidR="302CC0BD">
        <w:rPr/>
        <w:t>individuals who trust these companies to store their biometric data when there is a breach, and the current legislation around data privacy</w:t>
      </w:r>
      <w:r w:rsidR="0FBFD9D8">
        <w:rPr/>
        <w:t xml:space="preserve"> and protection and biometric privacy that individual states have put into action, their effectiveness, and where they could be improved and areas that still need to be addressed.</w:t>
      </w:r>
    </w:p>
    <w:p w:rsidR="715A5F59" w:rsidRDefault="715A5F59" w14:paraId="3A45F2A0" w14:textId="774E5040">
      <w:r>
        <w:br w:type="page"/>
      </w:r>
    </w:p>
    <w:p w:rsidR="2DBA11B7" w:rsidP="715A5F59" w:rsidRDefault="2DBA11B7" w14:paraId="1D56568E" w14:textId="5CF7972B">
      <w:pPr>
        <w:jc w:val="center"/>
      </w:pPr>
      <w:r w:rsidRPr="715A5F59" w:rsidR="2DBA11B7">
        <w:rPr>
          <w:b w:val="1"/>
          <w:bCs w:val="1"/>
        </w:rPr>
        <w:t>Annotated Bibliography</w:t>
      </w:r>
    </w:p>
    <w:p w:rsidR="2DBA11B7" w:rsidP="715A5F59" w:rsidRDefault="2DBA11B7" w14:paraId="1412FAE8" w14:textId="67C6D649">
      <w:pPr>
        <w:pStyle w:val="Normal"/>
        <w:spacing w:after="160" w:line="480" w:lineRule="auto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en-US"/>
        </w:rPr>
      </w:pPr>
      <w:r w:rsidRPr="715A5F59" w:rsidR="2DBA1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Pinto, G. P., Donta, P. K., </w:t>
      </w:r>
      <w:r w:rsidRPr="715A5F59" w:rsidR="2DBA1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Dustdar</w:t>
      </w:r>
      <w:r w:rsidRPr="715A5F59" w:rsidR="2DBA1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, S., &amp; Prazeres, C. (2024). A Systematic Review </w:t>
      </w:r>
      <w:r w:rsidRPr="715A5F59" w:rsidR="2DBA1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on</w:t>
      </w:r>
      <w:r w:rsidRPr="715A5F59" w:rsidR="2DBA1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Privacy-</w:t>
      </w:r>
      <w:r>
        <w:tab/>
      </w:r>
      <w:r w:rsidRPr="715A5F59" w:rsidR="2DBA1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Aware IoT Personal Data Stores. </w:t>
      </w:r>
      <w:r w:rsidRPr="715A5F59" w:rsidR="2DBA11B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Sensors (14248220)</w:t>
      </w:r>
      <w:r w:rsidRPr="715A5F59" w:rsidR="2DBA1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, </w:t>
      </w:r>
      <w:r w:rsidRPr="715A5F59" w:rsidR="2DBA11B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24</w:t>
      </w:r>
      <w:r w:rsidRPr="715A5F59" w:rsidR="2DBA1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(7), 2197. https://doi-</w:t>
      </w:r>
      <w:r>
        <w:tab/>
      </w:r>
      <w:r>
        <w:tab/>
      </w:r>
      <w:r w:rsidRPr="715A5F59" w:rsidR="2DBA1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org.proxy.lib.odu.edu/10.3390/s24072197</w:t>
      </w:r>
    </w:p>
    <w:p w:rsidR="2DBA11B7" w:rsidP="715A5F59" w:rsidRDefault="2DBA11B7" w14:paraId="314CEC66" w14:textId="391076A7">
      <w:pPr>
        <w:pStyle w:val="Normal"/>
        <w:spacing w:after="16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715A5F59" w:rsidR="2DBA11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Pinto reports on rapid digitalization of lives in every sector globally and the massive amount of </w:t>
      </w:r>
      <w:r w:rsidRPr="715A5F59" w:rsidR="17AC75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wealth large corporations such as Google and Facebook have been able to </w:t>
      </w:r>
      <w:r w:rsidRPr="715A5F59" w:rsidR="17AC75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acquire</w:t>
      </w:r>
      <w:r w:rsidRPr="715A5F59" w:rsidR="17AC75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thanks to data farming even without consent. </w:t>
      </w:r>
      <w:r w:rsidRPr="715A5F59" w:rsidR="6D673C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Pinto then goes on to explain that this has allowed for a more rapid growth of the IoT and gave the data </w:t>
      </w:r>
      <w:r w:rsidRPr="715A5F59" w:rsidR="6288BC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to make technologies more convenient but argues it should not be at the price of privacy. Pinto then conducts </w:t>
      </w:r>
      <w:r w:rsidRPr="715A5F59" w:rsidR="14368B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research</w:t>
      </w:r>
      <w:r w:rsidRPr="715A5F59" w:rsidR="6288BC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on current state</w:t>
      </w:r>
      <w:r w:rsidRPr="715A5F59" w:rsidR="18A72F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of privacy protection solutions for IoT enabled devices and their ecosystems and their effectiveness.</w:t>
      </w:r>
      <w:r w:rsidRPr="715A5F59" w:rsidR="48E506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715A5F59" w:rsidR="725A5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Pinto explores </w:t>
      </w:r>
      <w:r w:rsidRPr="715A5F59" w:rsidR="725A5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possible security</w:t>
      </w:r>
      <w:r w:rsidRPr="715A5F59" w:rsidR="725A5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monitoring</w:t>
      </w:r>
      <w:r w:rsidRPr="715A5F59" w:rsidR="07073A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715A5F59" w:rsidR="725A5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solutions that can be implemented within I</w:t>
      </w:r>
      <w:r w:rsidRPr="715A5F59" w:rsidR="5717CE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oT </w:t>
      </w:r>
      <w:r w:rsidRPr="715A5F59" w:rsidR="1A742A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or have already been implemented and what their proven effectiveness is so far. Pinto finishes with critiques of each security device and current threats and failings within t</w:t>
      </w:r>
      <w:r w:rsidRPr="715A5F59" w:rsidR="7FA399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he industry.</w:t>
      </w:r>
    </w:p>
    <w:p w:rsidR="6F488E21" w:rsidP="715A5F59" w:rsidRDefault="6F488E21" w14:paraId="7D424F15" w14:textId="12753679">
      <w:pPr>
        <w:spacing w:after="160" w:line="48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15A5F59" w:rsidR="6F488E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Simons, E. (2021). Putting a Finger on Biometric Privacy Laws: HOW CONGRESS CAN </w:t>
      </w:r>
      <w:r>
        <w:tab/>
      </w:r>
      <w:r w:rsidRPr="715A5F59" w:rsidR="6F488E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STITCH TOGETHER THE PATCHWORK OF BIOMETRIC PRIVACY LAWS IN THE </w:t>
      </w:r>
      <w:r>
        <w:tab/>
      </w:r>
      <w:r>
        <w:tab/>
      </w:r>
      <w:r w:rsidRPr="715A5F59" w:rsidR="6F488E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UNITED STATES. </w:t>
      </w:r>
      <w:r w:rsidRPr="715A5F59" w:rsidR="6F488E2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Brooklyn Law Review</w:t>
      </w:r>
      <w:r w:rsidRPr="715A5F59" w:rsidR="6F488E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15A5F59" w:rsidR="6F488E2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86</w:t>
      </w:r>
      <w:r w:rsidRPr="715A5F59" w:rsidR="6F488E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(3), 1097–1134.</w:t>
      </w:r>
    </w:p>
    <w:p w:rsidR="6F488E21" w:rsidP="715A5F59" w:rsidRDefault="6F488E21" w14:paraId="4FC66F9C" w14:textId="416050BC">
      <w:pPr>
        <w:spacing w:after="160" w:line="48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5A5F59" w:rsidR="6F488E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Simons reports on biometric identification technology’s market growth and shortcuts</w:t>
      </w:r>
      <w:r w:rsidRPr="715A5F59" w:rsidR="394C79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have been taken to achieve such widespread use. Simons talks about the </w:t>
      </w:r>
      <w:r w:rsidRPr="715A5F59" w:rsidR="394C79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different </w:t>
      </w:r>
      <w:r w:rsidRPr="715A5F59" w:rsidR="7A67D9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ways</w:t>
      </w:r>
      <w:r w:rsidRPr="715A5F59" w:rsidR="7A67D9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biometric technologies have been defeated and how easily people can misplace their trust in biometric identification to keep their data safe. Simo</w:t>
      </w:r>
      <w:r w:rsidRPr="715A5F59" w:rsidR="38F702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ns then goes to break down the 4 areas of biometric privacy laws being fed</w:t>
      </w:r>
      <w:r w:rsidRPr="715A5F59" w:rsidR="6A51B4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eral privacy</w:t>
      </w:r>
      <w:r w:rsidRPr="715A5F59" w:rsidR="38F702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state </w:t>
      </w:r>
      <w:r w:rsidRPr="715A5F59" w:rsidR="657BFA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privacy</w:t>
      </w:r>
      <w:r w:rsidRPr="715A5F59" w:rsidR="38F702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state</w:t>
      </w:r>
      <w:r w:rsidRPr="715A5F59" w:rsidR="4835DE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biometric privacy, and federal biometric privacy. Simons concludes that there is </w:t>
      </w:r>
      <w:r w:rsidRPr="715A5F59" w:rsidR="16A9FC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precedence</w:t>
      </w:r>
      <w:r w:rsidRPr="715A5F59" w:rsidR="4835DE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a biometric privacy legislation roadmap in other sectors such as </w:t>
      </w:r>
      <w:r w:rsidRPr="715A5F59" w:rsidR="1B6F18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HIPAA and some states and legislative unions outside the US have also already implemented privacy laws that could inspire a federal biometric privacy law.</w:t>
      </w:r>
    </w:p>
    <w:p w:rsidR="715A5F59" w:rsidP="715A5F59" w:rsidRDefault="715A5F59" w14:paraId="360F71FB" w14:textId="151B2731">
      <w:pPr>
        <w:spacing w:line="480" w:lineRule="auto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4FAAA"/>
    <w:rsid w:val="00CF088E"/>
    <w:rsid w:val="0107B894"/>
    <w:rsid w:val="0643F6D9"/>
    <w:rsid w:val="0672A613"/>
    <w:rsid w:val="0672A613"/>
    <w:rsid w:val="07073A15"/>
    <w:rsid w:val="0D39D675"/>
    <w:rsid w:val="0D499E3A"/>
    <w:rsid w:val="0D499E3A"/>
    <w:rsid w:val="0DCB2299"/>
    <w:rsid w:val="0E4A3A74"/>
    <w:rsid w:val="0EC8498F"/>
    <w:rsid w:val="0EE5F04B"/>
    <w:rsid w:val="0F23DCEE"/>
    <w:rsid w:val="0F7E4FA4"/>
    <w:rsid w:val="0FBFD9D8"/>
    <w:rsid w:val="13D54E09"/>
    <w:rsid w:val="13E110D9"/>
    <w:rsid w:val="13E110D9"/>
    <w:rsid w:val="14368BF0"/>
    <w:rsid w:val="16A9FC73"/>
    <w:rsid w:val="17AC75F1"/>
    <w:rsid w:val="18A72FE3"/>
    <w:rsid w:val="198D470C"/>
    <w:rsid w:val="1A742AF6"/>
    <w:rsid w:val="1B1C32A1"/>
    <w:rsid w:val="1B6F18C3"/>
    <w:rsid w:val="1BAD1D84"/>
    <w:rsid w:val="1C8175E5"/>
    <w:rsid w:val="1F75AB7C"/>
    <w:rsid w:val="21898FAF"/>
    <w:rsid w:val="239654BF"/>
    <w:rsid w:val="26640C86"/>
    <w:rsid w:val="2A6D2B9A"/>
    <w:rsid w:val="2C1E9FB2"/>
    <w:rsid w:val="2D72F29D"/>
    <w:rsid w:val="2DBA11B7"/>
    <w:rsid w:val="302CC0BD"/>
    <w:rsid w:val="32B37EA5"/>
    <w:rsid w:val="385BC783"/>
    <w:rsid w:val="385BC783"/>
    <w:rsid w:val="38797FAF"/>
    <w:rsid w:val="3896AF30"/>
    <w:rsid w:val="38F702DF"/>
    <w:rsid w:val="394C7932"/>
    <w:rsid w:val="3A3CAF76"/>
    <w:rsid w:val="3C3846F5"/>
    <w:rsid w:val="3C3846F5"/>
    <w:rsid w:val="43B0149F"/>
    <w:rsid w:val="4835DEC8"/>
    <w:rsid w:val="485A1BDA"/>
    <w:rsid w:val="48E506A4"/>
    <w:rsid w:val="4914FAAA"/>
    <w:rsid w:val="497F0DA5"/>
    <w:rsid w:val="49B998B8"/>
    <w:rsid w:val="4A4C0C5B"/>
    <w:rsid w:val="4EF93E5D"/>
    <w:rsid w:val="4FAEE5B5"/>
    <w:rsid w:val="534DD70A"/>
    <w:rsid w:val="5436785C"/>
    <w:rsid w:val="5537AF48"/>
    <w:rsid w:val="5717CE75"/>
    <w:rsid w:val="59779B7B"/>
    <w:rsid w:val="5EEA8214"/>
    <w:rsid w:val="5EEA8214"/>
    <w:rsid w:val="5FB688B1"/>
    <w:rsid w:val="605C884F"/>
    <w:rsid w:val="6288BC9A"/>
    <w:rsid w:val="62F694AE"/>
    <w:rsid w:val="657BFABA"/>
    <w:rsid w:val="682E5EE2"/>
    <w:rsid w:val="6873C930"/>
    <w:rsid w:val="69FBBD21"/>
    <w:rsid w:val="6A403986"/>
    <w:rsid w:val="6A51B47D"/>
    <w:rsid w:val="6D673CA1"/>
    <w:rsid w:val="6F488E21"/>
    <w:rsid w:val="715A5F59"/>
    <w:rsid w:val="725A51BB"/>
    <w:rsid w:val="7388D502"/>
    <w:rsid w:val="778DD574"/>
    <w:rsid w:val="7A2375FE"/>
    <w:rsid w:val="7A35A606"/>
    <w:rsid w:val="7A67D9E5"/>
    <w:rsid w:val="7CB5AFFA"/>
    <w:rsid w:val="7FA39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FAAA"/>
  <w15:chartTrackingRefBased/>
  <w15:docId w15:val="{4D97E400-DEAC-4E84-A63E-194D8857D3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2024-06-24T07:16:46.1616862Z</dcterms:created>
  <dcterms:modified xsi:type="dcterms:W3CDTF">2024-06-24T07:58:13.2734939Z</dcterms:modified>
  <dc:creator>MCCANN, DYLAN</dc:creator>
  <lastModifiedBy>MCCANN, DYLAN</lastModifiedBy>
</coreProperties>
</file>