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D3CB" w14:textId="2168023F" w:rsidR="006F07AC" w:rsidRDefault="006F07AC" w:rsidP="006F07AC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Week 12 – Journal Entry 13</w:t>
      </w:r>
    </w:p>
    <w:p w14:paraId="40C08381" w14:textId="3409816B" w:rsidR="006F07AC" w:rsidRDefault="006F07AC" w:rsidP="006F07AC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Sheldon Horrell</w:t>
      </w:r>
    </w:p>
    <w:p w14:paraId="5B2ACEB4" w14:textId="5BC10369" w:rsidR="006F07AC" w:rsidRDefault="006F07AC" w:rsidP="006F07AC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CYSE-201S</w:t>
      </w:r>
    </w:p>
    <w:p w14:paraId="78F696E8" w14:textId="72846C6E" w:rsidR="006F07AC" w:rsidRDefault="006F07AC" w:rsidP="006F07AC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4/6/25</w:t>
      </w:r>
    </w:p>
    <w:p w14:paraId="6FF8D4C4" w14:textId="148A502A" w:rsidR="006F07AC" w:rsidRPr="006F07AC" w:rsidRDefault="006F07AC" w:rsidP="006F07AC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F07AC">
        <w:rPr>
          <w:rFonts w:eastAsia="Times New Roman" w:cs="Times New Roman"/>
          <w:kern w:val="0"/>
          <w14:ligatures w14:val="none"/>
        </w:rPr>
        <w:t>Bug Bounty Policies</w:t>
      </w:r>
    </w:p>
    <w:p w14:paraId="1141BCDD" w14:textId="1783C126" w:rsidR="006F07AC" w:rsidRPr="006F07AC" w:rsidRDefault="006F07AC" w:rsidP="006F07AC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After reading this journal article it helps explain</w:t>
      </w:r>
      <w:r w:rsidRPr="006F07AC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how</w:t>
      </w:r>
      <w:r w:rsidRPr="006F07AC">
        <w:rPr>
          <w:rFonts w:eastAsia="Times New Roman" w:cs="Times New Roman"/>
          <w:kern w:val="0"/>
          <w14:ligatures w14:val="none"/>
        </w:rPr>
        <w:t xml:space="preserve"> bug bounty programs are becoming a key tool in fighting </w:t>
      </w:r>
      <w:r w:rsidRPr="006F07AC">
        <w:rPr>
          <w:rFonts w:eastAsia="Times New Roman" w:cs="Times New Roman"/>
          <w:kern w:val="0"/>
          <w14:ligatures w14:val="none"/>
        </w:rPr>
        <w:t>cyber</w:t>
      </w:r>
      <w:r>
        <w:rPr>
          <w:rFonts w:eastAsia="Times New Roman" w:cs="Times New Roman"/>
          <w:kern w:val="0"/>
          <w14:ligatures w14:val="none"/>
        </w:rPr>
        <w:t>crime</w:t>
      </w:r>
      <w:r w:rsidRPr="006F07AC">
        <w:rPr>
          <w:rFonts w:eastAsia="Times New Roman" w:cs="Times New Roman"/>
          <w:kern w:val="0"/>
          <w14:ligatures w14:val="none"/>
        </w:rPr>
        <w:t xml:space="preserve">, especially </w:t>
      </w:r>
      <w:r>
        <w:rPr>
          <w:rFonts w:eastAsia="Times New Roman" w:cs="Times New Roman"/>
          <w:kern w:val="0"/>
          <w14:ligatures w14:val="none"/>
        </w:rPr>
        <w:t>in a shortage</w:t>
      </w:r>
      <w:r w:rsidRPr="006F07AC">
        <w:rPr>
          <w:rFonts w:eastAsia="Times New Roman" w:cs="Times New Roman"/>
          <w:kern w:val="0"/>
          <w14:ligatures w14:val="none"/>
        </w:rPr>
        <w:t xml:space="preserve"> cybersecurity </w:t>
      </w:r>
      <w:proofErr w:type="gramStart"/>
      <w:r w:rsidR="00A65585" w:rsidRPr="006F07AC">
        <w:rPr>
          <w:rFonts w:eastAsia="Times New Roman" w:cs="Times New Roman"/>
          <w:kern w:val="0"/>
          <w14:ligatures w14:val="none"/>
        </w:rPr>
        <w:t>professional</w:t>
      </w:r>
      <w:r w:rsidR="00A65585">
        <w:rPr>
          <w:rFonts w:eastAsia="Times New Roman" w:cs="Times New Roman"/>
          <w:kern w:val="0"/>
          <w14:ligatures w14:val="none"/>
        </w:rPr>
        <w:t>s</w:t>
      </w:r>
      <w:proofErr w:type="gramEnd"/>
      <w:r>
        <w:rPr>
          <w:rFonts w:eastAsia="Times New Roman" w:cs="Times New Roman"/>
          <w:kern w:val="0"/>
          <w14:ligatures w14:val="none"/>
        </w:rPr>
        <w:t>.</w:t>
      </w:r>
      <w:r w:rsidRPr="006F07AC">
        <w:rPr>
          <w:rFonts w:eastAsia="Times New Roman" w:cs="Times New Roman"/>
          <w:kern w:val="0"/>
          <w14:ligatures w14:val="none"/>
        </w:rPr>
        <w:t xml:space="preserve"> It highlights how many companies still lack clear policies for </w:t>
      </w:r>
      <w:r>
        <w:rPr>
          <w:rFonts w:eastAsia="Times New Roman" w:cs="Times New Roman"/>
          <w:kern w:val="0"/>
          <w14:ligatures w14:val="none"/>
        </w:rPr>
        <w:t>disclosing vulnerabilities</w:t>
      </w:r>
      <w:r w:rsidRPr="006F07AC">
        <w:rPr>
          <w:rFonts w:eastAsia="Times New Roman" w:cs="Times New Roman"/>
          <w:kern w:val="0"/>
          <w14:ligatures w14:val="none"/>
        </w:rPr>
        <w:t>, leaving them open to attacks</w:t>
      </w:r>
      <w:r>
        <w:rPr>
          <w:rFonts w:eastAsia="Times New Roman" w:cs="Times New Roman"/>
          <w:kern w:val="0"/>
          <w14:ligatures w14:val="none"/>
        </w:rPr>
        <w:t xml:space="preserve"> and more.</w:t>
      </w:r>
    </w:p>
    <w:p w14:paraId="21F72B06" w14:textId="7A2AB5B5" w:rsidR="006F07AC" w:rsidRPr="006F07AC" w:rsidRDefault="006F07AC" w:rsidP="006F07AC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F07AC">
        <w:rPr>
          <w:rFonts w:eastAsia="Times New Roman" w:cs="Times New Roman"/>
          <w:kern w:val="0"/>
          <w14:ligatures w14:val="none"/>
        </w:rPr>
        <w:t xml:space="preserve">The study shows </w:t>
      </w:r>
      <w:r>
        <w:rPr>
          <w:rFonts w:eastAsia="Times New Roman" w:cs="Times New Roman"/>
          <w:kern w:val="0"/>
          <w14:ligatures w14:val="none"/>
        </w:rPr>
        <w:t>how</w:t>
      </w:r>
      <w:r w:rsidRPr="006F07AC">
        <w:rPr>
          <w:rFonts w:eastAsia="Times New Roman" w:cs="Times New Roman"/>
          <w:kern w:val="0"/>
          <w14:ligatures w14:val="none"/>
        </w:rPr>
        <w:t xml:space="preserve"> bug bounty programs work well even for smaller companies. </w:t>
      </w:r>
      <w:r>
        <w:rPr>
          <w:rFonts w:eastAsia="Times New Roman" w:cs="Times New Roman"/>
          <w:kern w:val="0"/>
          <w14:ligatures w14:val="none"/>
        </w:rPr>
        <w:t>It also highlights</w:t>
      </w:r>
      <w:r w:rsidRPr="006F07AC">
        <w:rPr>
          <w:rFonts w:eastAsia="Times New Roman" w:cs="Times New Roman"/>
          <w:kern w:val="0"/>
          <w14:ligatures w14:val="none"/>
        </w:rPr>
        <w:t xml:space="preserve"> that hackers are only slightly motivated by money</w:t>
      </w:r>
      <w:r>
        <w:rPr>
          <w:rFonts w:eastAsia="Times New Roman" w:cs="Times New Roman"/>
          <w:kern w:val="0"/>
          <w14:ligatures w14:val="none"/>
        </w:rPr>
        <w:t xml:space="preserve">, </w:t>
      </w:r>
      <w:r w:rsidRPr="006F07AC">
        <w:rPr>
          <w:rFonts w:eastAsia="Times New Roman" w:cs="Times New Roman"/>
          <w:kern w:val="0"/>
          <w14:ligatures w14:val="none"/>
        </w:rPr>
        <w:t xml:space="preserve">meaning they </w:t>
      </w:r>
      <w:r>
        <w:rPr>
          <w:rFonts w:eastAsia="Times New Roman" w:cs="Times New Roman"/>
          <w:kern w:val="0"/>
          <w14:ligatures w14:val="none"/>
        </w:rPr>
        <w:t>may</w:t>
      </w:r>
      <w:r w:rsidRPr="006F07AC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do it</w:t>
      </w:r>
      <w:r w:rsidRPr="006F07AC">
        <w:rPr>
          <w:rFonts w:eastAsia="Times New Roman" w:cs="Times New Roman"/>
          <w:kern w:val="0"/>
          <w14:ligatures w14:val="none"/>
        </w:rPr>
        <w:t xml:space="preserve"> for reasons other than </w:t>
      </w:r>
      <w:r>
        <w:rPr>
          <w:rFonts w:eastAsia="Times New Roman" w:cs="Times New Roman"/>
          <w:kern w:val="0"/>
          <w14:ligatures w14:val="none"/>
        </w:rPr>
        <w:t>financial motivation, like building a hacker reputation</w:t>
      </w:r>
      <w:r w:rsidRPr="006F07AC">
        <w:rPr>
          <w:rFonts w:eastAsia="Times New Roman" w:cs="Times New Roman"/>
          <w:kern w:val="0"/>
          <w14:ligatures w14:val="none"/>
        </w:rPr>
        <w:t xml:space="preserve">. This means companies don’t always have to pay high rewards </w:t>
      </w:r>
      <w:r>
        <w:rPr>
          <w:rFonts w:eastAsia="Times New Roman" w:cs="Times New Roman"/>
          <w:kern w:val="0"/>
          <w14:ligatures w14:val="none"/>
        </w:rPr>
        <w:t>for</w:t>
      </w:r>
      <w:r w:rsidRPr="006F07AC">
        <w:rPr>
          <w:rFonts w:eastAsia="Times New Roman" w:cs="Times New Roman"/>
          <w:kern w:val="0"/>
          <w14:ligatures w14:val="none"/>
        </w:rPr>
        <w:t xml:space="preserve"> results. The research </w:t>
      </w:r>
      <w:r>
        <w:rPr>
          <w:rFonts w:eastAsia="Times New Roman" w:cs="Times New Roman"/>
          <w:kern w:val="0"/>
          <w14:ligatures w14:val="none"/>
        </w:rPr>
        <w:t xml:space="preserve">in this study </w:t>
      </w:r>
      <w:r w:rsidRPr="006F07AC">
        <w:rPr>
          <w:rFonts w:eastAsia="Times New Roman" w:cs="Times New Roman"/>
          <w:kern w:val="0"/>
          <w14:ligatures w14:val="none"/>
        </w:rPr>
        <w:t xml:space="preserve">also found </w:t>
      </w:r>
      <w:r>
        <w:rPr>
          <w:rFonts w:eastAsia="Times New Roman" w:cs="Times New Roman"/>
          <w:kern w:val="0"/>
          <w14:ligatures w14:val="none"/>
        </w:rPr>
        <w:t xml:space="preserve">that the </w:t>
      </w:r>
      <w:r w:rsidRPr="006F07AC">
        <w:rPr>
          <w:rFonts w:eastAsia="Times New Roman" w:cs="Times New Roman"/>
          <w:kern w:val="0"/>
          <w14:ligatures w14:val="none"/>
        </w:rPr>
        <w:t xml:space="preserve">size or brand doesn’t significantly affect </w:t>
      </w:r>
      <w:r w:rsidR="00A65585">
        <w:rPr>
          <w:rFonts w:eastAsia="Times New Roman" w:cs="Times New Roman"/>
          <w:kern w:val="0"/>
          <w14:ligatures w14:val="none"/>
        </w:rPr>
        <w:t>reporting of vulnerabilities</w:t>
      </w:r>
      <w:r w:rsidRPr="006F07AC">
        <w:rPr>
          <w:rFonts w:eastAsia="Times New Roman" w:cs="Times New Roman"/>
          <w:kern w:val="0"/>
          <w14:ligatures w14:val="none"/>
        </w:rPr>
        <w:t xml:space="preserve">. </w:t>
      </w:r>
      <w:r w:rsidR="00A65585">
        <w:rPr>
          <w:rFonts w:eastAsia="Times New Roman" w:cs="Times New Roman"/>
          <w:kern w:val="0"/>
          <w14:ligatures w14:val="none"/>
        </w:rPr>
        <w:t xml:space="preserve">Industries </w:t>
      </w:r>
      <w:r w:rsidRPr="006F07AC">
        <w:rPr>
          <w:rFonts w:eastAsia="Times New Roman" w:cs="Times New Roman"/>
          <w:kern w:val="0"/>
          <w14:ligatures w14:val="none"/>
        </w:rPr>
        <w:t>like finance and healthcare see fewer reports, possibly due to higher risks or tighter security measures</w:t>
      </w:r>
      <w:r w:rsidR="00A65585">
        <w:rPr>
          <w:rFonts w:eastAsia="Times New Roman" w:cs="Times New Roman"/>
          <w:kern w:val="0"/>
          <w14:ligatures w14:val="none"/>
        </w:rPr>
        <w:t xml:space="preserve"> from laws like HIPAA.</w:t>
      </w:r>
    </w:p>
    <w:p w14:paraId="223A5CA0" w14:textId="106FDE8D" w:rsidR="006F07AC" w:rsidRPr="006F07AC" w:rsidRDefault="00A65585" w:rsidP="006F07AC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The</w:t>
      </w:r>
      <w:r w:rsidR="006F07AC" w:rsidRPr="006F07AC">
        <w:rPr>
          <w:rFonts w:eastAsia="Times New Roman" w:cs="Times New Roman"/>
          <w:kern w:val="0"/>
          <w14:ligatures w14:val="none"/>
        </w:rPr>
        <w:t xml:space="preserve"> article makes it clear that while bug bounty programs aren’t perfect, they offer a promising way for companies to improve cybersecurity without needing </w:t>
      </w:r>
      <w:r>
        <w:rPr>
          <w:rFonts w:eastAsia="Times New Roman" w:cs="Times New Roman"/>
          <w:kern w:val="0"/>
          <w14:ligatures w14:val="none"/>
        </w:rPr>
        <w:t xml:space="preserve">larger financial </w:t>
      </w:r>
      <w:proofErr w:type="spellStart"/>
      <w:r>
        <w:rPr>
          <w:rFonts w:eastAsia="Times New Roman" w:cs="Times New Roman"/>
          <w:kern w:val="0"/>
          <w14:ligatures w14:val="none"/>
        </w:rPr>
        <w:t xml:space="preserve">resources. </w:t>
      </w:r>
      <w:r w:rsidR="006F07AC" w:rsidRPr="006F07AC">
        <w:rPr>
          <w:rFonts w:eastAsia="Times New Roman" w:cs="Times New Roman"/>
          <w:kern w:val="0"/>
          <w14:ligatures w14:val="none"/>
        </w:rPr>
        <w:t>I</w:t>
      </w:r>
      <w:proofErr w:type="spellEnd"/>
      <w:r w:rsidR="006F07AC" w:rsidRPr="006F07AC">
        <w:rPr>
          <w:rFonts w:eastAsia="Times New Roman" w:cs="Times New Roman"/>
          <w:kern w:val="0"/>
          <w14:ligatures w14:val="none"/>
        </w:rPr>
        <w:t xml:space="preserve">t also points out that programs tend to slow down as they age unless they keep expanding their scope. These </w:t>
      </w:r>
      <w:r>
        <w:rPr>
          <w:rFonts w:eastAsia="Times New Roman" w:cs="Times New Roman"/>
          <w:kern w:val="0"/>
          <w14:ligatures w14:val="none"/>
        </w:rPr>
        <w:t>is useful for</w:t>
      </w:r>
      <w:r w:rsidR="006F07AC" w:rsidRPr="006F07AC">
        <w:rPr>
          <w:rFonts w:eastAsia="Times New Roman" w:cs="Times New Roman"/>
          <w:kern w:val="0"/>
          <w14:ligatures w14:val="none"/>
        </w:rPr>
        <w:t xml:space="preserve"> businesses and policymakers looking to </w:t>
      </w:r>
      <w:r>
        <w:rPr>
          <w:rFonts w:eastAsia="Times New Roman" w:cs="Times New Roman"/>
          <w:kern w:val="0"/>
          <w14:ligatures w14:val="none"/>
        </w:rPr>
        <w:t>increase and strengthen</w:t>
      </w:r>
      <w:r w:rsidR="006F07AC" w:rsidRPr="006F07AC">
        <w:rPr>
          <w:rFonts w:eastAsia="Times New Roman" w:cs="Times New Roman"/>
          <w:kern w:val="0"/>
          <w14:ligatures w14:val="none"/>
        </w:rPr>
        <w:t xml:space="preserve"> digital security.</w:t>
      </w:r>
    </w:p>
    <w:p w14:paraId="4E0E2CF3" w14:textId="7BFBE429" w:rsidR="006E4F84" w:rsidRPr="00A65585" w:rsidRDefault="00A65585">
      <w:pPr>
        <w:rPr>
          <w:b/>
          <w:bCs/>
          <w:sz w:val="32"/>
          <w:szCs w:val="32"/>
        </w:rPr>
      </w:pPr>
      <w:r w:rsidRPr="00A65585">
        <w:rPr>
          <w:b/>
          <w:bCs/>
          <w:sz w:val="32"/>
          <w:szCs w:val="32"/>
        </w:rPr>
        <w:t>Reference</w:t>
      </w:r>
    </w:p>
    <w:p w14:paraId="35777C00" w14:textId="77777777" w:rsidR="00A65585" w:rsidRDefault="00A65585">
      <w:pPr>
        <w:rPr>
          <w:b/>
          <w:bCs/>
        </w:rPr>
      </w:pPr>
    </w:p>
    <w:p w14:paraId="0C72DA65" w14:textId="51AB67D0" w:rsidR="00A65585" w:rsidRPr="00A65585" w:rsidRDefault="00A65585">
      <w:pPr>
        <w:rPr>
          <w:rFonts w:cs="Times New Roman"/>
          <w:b/>
          <w:bCs/>
        </w:rPr>
      </w:pPr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 xml:space="preserve">Kiran Sridhar, Ming Ng, </w:t>
      </w:r>
      <w:proofErr w:type="gramStart"/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>Hacking</w:t>
      </w:r>
      <w:proofErr w:type="gramEnd"/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 xml:space="preserve"> for good: Leveraging </w:t>
      </w:r>
      <w:proofErr w:type="spellStart"/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>HackerOne</w:t>
      </w:r>
      <w:proofErr w:type="spellEnd"/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 xml:space="preserve"> data to develop an economic model of Bug Bounties,</w:t>
      </w:r>
      <w:r w:rsidRPr="00A65585">
        <w:rPr>
          <w:rStyle w:val="apple-converted-space"/>
          <w:rFonts w:cs="Times New Roman"/>
          <w:color w:val="2A2A2A"/>
          <w:sz w:val="23"/>
          <w:szCs w:val="23"/>
          <w:shd w:val="clear" w:color="auto" w:fill="FFFFFF"/>
        </w:rPr>
        <w:t> </w:t>
      </w:r>
      <w:r w:rsidRPr="00A65585">
        <w:rPr>
          <w:rStyle w:val="Emphasis"/>
          <w:rFonts w:cs="Times New Roman"/>
          <w:color w:val="2A2A2A"/>
          <w:sz w:val="23"/>
          <w:szCs w:val="23"/>
          <w:bdr w:val="none" w:sz="0" w:space="0" w:color="auto" w:frame="1"/>
        </w:rPr>
        <w:t>Journal of Cybersecurity</w:t>
      </w:r>
      <w:r w:rsidRPr="00A65585">
        <w:rPr>
          <w:rFonts w:cs="Times New Roman"/>
          <w:color w:val="2A2A2A"/>
          <w:sz w:val="23"/>
          <w:szCs w:val="23"/>
          <w:shd w:val="clear" w:color="auto" w:fill="FFFFFF"/>
        </w:rPr>
        <w:t>, Volume 7, Issue 1, 2021, tyab007,</w:t>
      </w:r>
      <w:r w:rsidRPr="00A65585">
        <w:rPr>
          <w:rStyle w:val="apple-converted-space"/>
          <w:rFonts w:cs="Times New Roman"/>
          <w:color w:val="2A2A2A"/>
          <w:sz w:val="23"/>
          <w:szCs w:val="23"/>
          <w:shd w:val="clear" w:color="auto" w:fill="FFFFFF"/>
        </w:rPr>
        <w:t> </w:t>
      </w:r>
      <w:hyperlink r:id="rId4" w:history="1">
        <w:r w:rsidRPr="00A65585">
          <w:rPr>
            <w:rStyle w:val="Hyperlink"/>
            <w:rFonts w:cs="Times New Roman"/>
            <w:color w:val="006FB7"/>
            <w:sz w:val="23"/>
            <w:szCs w:val="23"/>
            <w:bdr w:val="none" w:sz="0" w:space="0" w:color="auto" w:frame="1"/>
          </w:rPr>
          <w:t>https://doi.org/10.1093/cybsec/tyab007</w:t>
        </w:r>
      </w:hyperlink>
    </w:p>
    <w:sectPr w:rsidR="00A65585" w:rsidRPr="00A6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AC"/>
    <w:rsid w:val="000562C2"/>
    <w:rsid w:val="003F0BAE"/>
    <w:rsid w:val="0048450C"/>
    <w:rsid w:val="006769F5"/>
    <w:rsid w:val="006E4F84"/>
    <w:rsid w:val="006F07AC"/>
    <w:rsid w:val="007353B5"/>
    <w:rsid w:val="009F46AD"/>
    <w:rsid w:val="00A65585"/>
    <w:rsid w:val="00AA3588"/>
    <w:rsid w:val="00A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2F381"/>
  <w15:chartTrackingRefBased/>
  <w15:docId w15:val="{CB1559E0-A9BA-6E49-881F-0C9019E5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7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7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7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7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7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7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7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7A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7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7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7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7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7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7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7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7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7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7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7A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F07AC"/>
    <w:rPr>
      <w:b/>
      <w:bCs/>
    </w:rPr>
  </w:style>
  <w:style w:type="character" w:customStyle="1" w:styleId="apple-converted-space">
    <w:name w:val="apple-converted-space"/>
    <w:basedOn w:val="DefaultParagraphFont"/>
    <w:rsid w:val="00A65585"/>
  </w:style>
  <w:style w:type="character" w:styleId="Emphasis">
    <w:name w:val="Emphasis"/>
    <w:basedOn w:val="DefaultParagraphFont"/>
    <w:uiPriority w:val="20"/>
    <w:qFormat/>
    <w:rsid w:val="00A6558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5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cybsec/tyab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HORRELL, SHELDON</dc:creator>
  <cp:keywords/>
  <dc:description/>
  <cp:lastModifiedBy>HORRELL, SHELDON</cp:lastModifiedBy>
  <cp:revision>1</cp:revision>
  <dcterms:created xsi:type="dcterms:W3CDTF">2025-04-06T22:38:00Z</dcterms:created>
  <dcterms:modified xsi:type="dcterms:W3CDTF">2025-04-06T22:52:00Z</dcterms:modified>
</cp:coreProperties>
</file>