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 Priorities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One priority is to acquire proper funding for the K-12 music programs.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Another priority is to expose the students to a diverse array of music.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One more priority is to create a learning environment that is engaging as well as educational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5 Areas of Communication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t xml:space="preserve">In order to meet these priorities that could be established could mean communicating with </w:t>
      </w:r>
      <w:r w:rsidDel="00000000" w:rsidR="00000000" w:rsidRPr="00000000">
        <w:rPr>
          <w:b w:val="1"/>
          <w:rtl w:val="0"/>
        </w:rPr>
        <w:t xml:space="preserve">boosters, the students, the parents (PTO), the school board, and social media.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