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8FDE" w14:textId="77777777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</w:rPr>
      </w:pPr>
    </w:p>
    <w:p w14:paraId="59E7A9D4" w14:textId="77777777" w:rsidR="009113F7" w:rsidRPr="009113F7" w:rsidRDefault="009113F7" w:rsidP="009113F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3CC56DE" w14:textId="541A23DD" w:rsidR="0013434C" w:rsidRPr="0013434C" w:rsidRDefault="0013434C" w:rsidP="0013434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3434C">
        <w:rPr>
          <w:rFonts w:ascii="Times New Roman" w:hAnsi="Times New Roman" w:cs="Times New Roman"/>
          <w:b/>
          <w:bCs/>
        </w:rPr>
        <w:t>Article Review #</w:t>
      </w:r>
      <w:r w:rsidR="000C56C2">
        <w:rPr>
          <w:rFonts w:ascii="Times New Roman" w:hAnsi="Times New Roman" w:cs="Times New Roman"/>
          <w:b/>
          <w:bCs/>
        </w:rPr>
        <w:t>1</w:t>
      </w:r>
      <w:r w:rsidRPr="0013434C">
        <w:rPr>
          <w:rFonts w:ascii="Times New Roman" w:hAnsi="Times New Roman" w:cs="Times New Roman"/>
          <w:b/>
          <w:bCs/>
        </w:rPr>
        <w:t xml:space="preserve">: </w:t>
      </w:r>
      <w:r w:rsidR="000C56C2" w:rsidRPr="000C56C2">
        <w:rPr>
          <w:rFonts w:ascii="Times New Roman" w:hAnsi="Times New Roman" w:cs="Times New Roman"/>
          <w:b/>
          <w:bCs/>
        </w:rPr>
        <w:t>Even</w:t>
      </w:r>
      <w:r w:rsidR="000C56C2">
        <w:rPr>
          <w:rFonts w:ascii="Times New Roman" w:hAnsi="Times New Roman" w:cs="Times New Roman"/>
          <w:b/>
          <w:bCs/>
        </w:rPr>
        <w:t xml:space="preserve">t </w:t>
      </w:r>
      <w:r w:rsidR="000C56C2" w:rsidRPr="000C56C2">
        <w:rPr>
          <w:rFonts w:ascii="Times New Roman" w:hAnsi="Times New Roman" w:cs="Times New Roman"/>
          <w:b/>
          <w:bCs/>
        </w:rPr>
        <w:t>Regulating</w:t>
      </w:r>
      <w:r w:rsidR="000C56C2">
        <w:rPr>
          <w:rFonts w:ascii="Times New Roman" w:hAnsi="Times New Roman" w:cs="Times New Roman"/>
          <w:b/>
          <w:bCs/>
        </w:rPr>
        <w:t xml:space="preserve"> </w:t>
      </w:r>
      <w:r w:rsidR="000C56C2" w:rsidRPr="000C56C2">
        <w:rPr>
          <w:rFonts w:ascii="Times New Roman" w:hAnsi="Times New Roman" w:cs="Times New Roman"/>
          <w:b/>
          <w:bCs/>
        </w:rPr>
        <w:t>Civil</w:t>
      </w:r>
      <w:r w:rsidR="000C56C2">
        <w:rPr>
          <w:rFonts w:ascii="Times New Roman" w:hAnsi="Times New Roman" w:cs="Times New Roman"/>
          <w:b/>
          <w:bCs/>
        </w:rPr>
        <w:t xml:space="preserve"> </w:t>
      </w:r>
      <w:r w:rsidR="000C56C2" w:rsidRPr="000C56C2">
        <w:rPr>
          <w:rFonts w:ascii="Times New Roman" w:hAnsi="Times New Roman" w:cs="Times New Roman"/>
          <w:b/>
          <w:bCs/>
        </w:rPr>
        <w:t>Liability</w:t>
      </w:r>
      <w:r w:rsidR="000C56C2">
        <w:rPr>
          <w:rFonts w:ascii="Times New Roman" w:hAnsi="Times New Roman" w:cs="Times New Roman"/>
          <w:b/>
          <w:bCs/>
        </w:rPr>
        <w:t xml:space="preserve"> </w:t>
      </w:r>
      <w:r w:rsidR="000C56C2" w:rsidRPr="000C56C2">
        <w:rPr>
          <w:rFonts w:ascii="Times New Roman" w:hAnsi="Times New Roman" w:cs="Times New Roman"/>
          <w:b/>
          <w:bCs/>
        </w:rPr>
        <w:t>for Artificial Intelligence Damages in</w:t>
      </w:r>
      <w:r w:rsidR="000C56C2">
        <w:rPr>
          <w:rFonts w:ascii="Times New Roman" w:hAnsi="Times New Roman" w:cs="Times New Roman"/>
          <w:b/>
          <w:bCs/>
        </w:rPr>
        <w:t xml:space="preserve"> </w:t>
      </w:r>
      <w:r w:rsidR="000C56C2" w:rsidRPr="000C56C2">
        <w:rPr>
          <w:rFonts w:ascii="Times New Roman" w:hAnsi="Times New Roman" w:cs="Times New Roman"/>
          <w:b/>
          <w:bCs/>
        </w:rPr>
        <w:t>Jordanian Legislation</w:t>
      </w:r>
    </w:p>
    <w:p w14:paraId="112D4D21" w14:textId="10B3890E" w:rsidR="0013434C" w:rsidRPr="0013434C" w:rsidRDefault="0013434C" w:rsidP="0013434C">
      <w:pPr>
        <w:spacing w:line="480" w:lineRule="auto"/>
        <w:jc w:val="center"/>
        <w:rPr>
          <w:rFonts w:ascii="Times New Roman" w:hAnsi="Times New Roman" w:cs="Times New Roman"/>
        </w:rPr>
      </w:pPr>
      <w:r w:rsidRPr="0013434C">
        <w:rPr>
          <w:rFonts w:ascii="Times New Roman" w:hAnsi="Times New Roman" w:cs="Times New Roman"/>
        </w:rPr>
        <w:t xml:space="preserve">Student Name: </w:t>
      </w:r>
      <w:r>
        <w:rPr>
          <w:rFonts w:ascii="Times New Roman" w:hAnsi="Times New Roman" w:cs="Times New Roman"/>
        </w:rPr>
        <w:t>Dorian Jones</w:t>
      </w:r>
    </w:p>
    <w:p w14:paraId="11F4B399" w14:textId="77777777" w:rsidR="0013434C" w:rsidRPr="0013434C" w:rsidRDefault="0013434C" w:rsidP="0013434C">
      <w:pPr>
        <w:spacing w:line="480" w:lineRule="auto"/>
        <w:jc w:val="center"/>
        <w:rPr>
          <w:rFonts w:ascii="Times New Roman" w:hAnsi="Times New Roman" w:cs="Times New Roman"/>
        </w:rPr>
      </w:pPr>
      <w:r w:rsidRPr="0013434C">
        <w:rPr>
          <w:rFonts w:ascii="Times New Roman" w:hAnsi="Times New Roman" w:cs="Times New Roman"/>
        </w:rPr>
        <w:t>School of Cybersecurity, Old Dominion University</w:t>
      </w:r>
    </w:p>
    <w:p w14:paraId="739AA86E" w14:textId="77777777" w:rsidR="0013434C" w:rsidRPr="0013434C" w:rsidRDefault="0013434C" w:rsidP="0013434C">
      <w:pPr>
        <w:spacing w:line="480" w:lineRule="auto"/>
        <w:jc w:val="center"/>
        <w:rPr>
          <w:rFonts w:ascii="Times New Roman" w:hAnsi="Times New Roman" w:cs="Times New Roman"/>
        </w:rPr>
      </w:pPr>
      <w:r w:rsidRPr="0013434C">
        <w:rPr>
          <w:rFonts w:ascii="Times New Roman" w:hAnsi="Times New Roman" w:cs="Times New Roman"/>
        </w:rPr>
        <w:t>CYSE 201S: Cybersecurity and the Social Sciences</w:t>
      </w:r>
    </w:p>
    <w:p w14:paraId="0F3C787A" w14:textId="39685C6C" w:rsidR="0013434C" w:rsidRPr="0013434C" w:rsidRDefault="0013434C" w:rsidP="0013434C">
      <w:pPr>
        <w:spacing w:line="480" w:lineRule="auto"/>
        <w:jc w:val="center"/>
        <w:rPr>
          <w:rFonts w:ascii="Times New Roman" w:hAnsi="Times New Roman" w:cs="Times New Roman"/>
        </w:rPr>
      </w:pPr>
      <w:r w:rsidRPr="0013434C">
        <w:rPr>
          <w:rFonts w:ascii="Times New Roman" w:hAnsi="Times New Roman" w:cs="Times New Roman"/>
        </w:rPr>
        <w:t xml:space="preserve">Instructor Name: </w:t>
      </w:r>
      <w:r w:rsidR="007356D3">
        <w:rPr>
          <w:rFonts w:ascii="Times New Roman" w:hAnsi="Times New Roman" w:cs="Times New Roman"/>
        </w:rPr>
        <w:t xml:space="preserve">Diwakar </w:t>
      </w:r>
      <w:proofErr w:type="spellStart"/>
      <w:r w:rsidR="007356D3">
        <w:rPr>
          <w:rFonts w:ascii="Times New Roman" w:hAnsi="Times New Roman" w:cs="Times New Roman"/>
        </w:rPr>
        <w:t>Yalpi</w:t>
      </w:r>
      <w:proofErr w:type="spellEnd"/>
    </w:p>
    <w:p w14:paraId="29ABBC07" w14:textId="289243EB" w:rsidR="009113F7" w:rsidRPr="0013434C" w:rsidRDefault="0013434C" w:rsidP="0013434C">
      <w:pPr>
        <w:spacing w:line="480" w:lineRule="auto"/>
        <w:jc w:val="center"/>
        <w:rPr>
          <w:rFonts w:ascii="Times New Roman" w:hAnsi="Times New Roman" w:cs="Times New Roman"/>
        </w:rPr>
      </w:pPr>
      <w:r w:rsidRPr="0013434C">
        <w:rPr>
          <w:rFonts w:ascii="Times New Roman" w:hAnsi="Times New Roman" w:cs="Times New Roman"/>
        </w:rPr>
        <w:t xml:space="preserve">Date: </w:t>
      </w:r>
      <w:r w:rsidR="007356D3">
        <w:rPr>
          <w:rFonts w:ascii="Times New Roman" w:hAnsi="Times New Roman" w:cs="Times New Roman"/>
        </w:rPr>
        <w:t>2/17/2026</w:t>
      </w:r>
    </w:p>
    <w:p w14:paraId="419A619E" w14:textId="77777777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</w:rPr>
      </w:pPr>
    </w:p>
    <w:p w14:paraId="40297375" w14:textId="77777777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</w:rPr>
      </w:pPr>
    </w:p>
    <w:p w14:paraId="4174EBDF" w14:textId="77777777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</w:rPr>
      </w:pPr>
    </w:p>
    <w:p w14:paraId="62F2A44A" w14:textId="77777777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</w:rPr>
      </w:pPr>
    </w:p>
    <w:p w14:paraId="33B1F51C" w14:textId="77777777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</w:rPr>
      </w:pPr>
    </w:p>
    <w:p w14:paraId="378D8CB5" w14:textId="77777777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</w:rPr>
      </w:pPr>
    </w:p>
    <w:p w14:paraId="7A041B0D" w14:textId="77777777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</w:rPr>
      </w:pPr>
    </w:p>
    <w:p w14:paraId="217055BF" w14:textId="77777777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</w:rPr>
      </w:pPr>
    </w:p>
    <w:p w14:paraId="74D8666F" w14:textId="77777777" w:rsidR="009113F7" w:rsidRDefault="009113F7" w:rsidP="009113F7">
      <w:pPr>
        <w:spacing w:line="480" w:lineRule="auto"/>
        <w:rPr>
          <w:rFonts w:ascii="Times New Roman" w:hAnsi="Times New Roman" w:cs="Times New Roman"/>
        </w:rPr>
      </w:pPr>
    </w:p>
    <w:p w14:paraId="6E7ED265" w14:textId="77777777" w:rsidR="007356D3" w:rsidRDefault="007356D3" w:rsidP="009113F7">
      <w:pPr>
        <w:spacing w:line="480" w:lineRule="auto"/>
        <w:rPr>
          <w:rFonts w:ascii="Times New Roman" w:hAnsi="Times New Roman" w:cs="Times New Roman"/>
        </w:rPr>
      </w:pPr>
    </w:p>
    <w:p w14:paraId="09E0BBB4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  <w:b/>
          <w:bCs/>
        </w:rPr>
      </w:pPr>
      <w:r w:rsidRPr="007356D3">
        <w:rPr>
          <w:rFonts w:ascii="Times New Roman" w:hAnsi="Times New Roman" w:cs="Times New Roman"/>
          <w:b/>
          <w:bCs/>
        </w:rPr>
        <w:lastRenderedPageBreak/>
        <w:t>Introduction / BLUF</w:t>
      </w:r>
    </w:p>
    <w:p w14:paraId="0CF7A172" w14:textId="5FD1D0C6" w:rsidR="007356D3" w:rsidRPr="007356D3" w:rsidRDefault="007356D3" w:rsidP="007356D3">
      <w:pPr>
        <w:spacing w:line="480" w:lineRule="auto"/>
        <w:ind w:firstLine="720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t>Al-</w:t>
      </w:r>
      <w:proofErr w:type="spellStart"/>
      <w:r w:rsidRPr="007356D3">
        <w:rPr>
          <w:rFonts w:ascii="Times New Roman" w:hAnsi="Times New Roman" w:cs="Times New Roman"/>
        </w:rPr>
        <w:t>Wreikat</w:t>
      </w:r>
      <w:proofErr w:type="spellEnd"/>
      <w:r w:rsidRPr="007356D3">
        <w:rPr>
          <w:rFonts w:ascii="Times New Roman" w:hAnsi="Times New Roman" w:cs="Times New Roman"/>
        </w:rPr>
        <w:t xml:space="preserve"> et al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(2025) examine how Jordanian law regulates civil liability for damages caused by artificial intelligence systems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The authors argue that Jordan’s current legal framework lacks specific provisions governing AI-related harm, resulting in uncertainty regarding accountability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Through legal analysis, interviews, and survey data from 100 stakeholders, the study concludes that legislative reform is necessary, particularly the adoption of strict liability for high-risk AI systems.</w:t>
      </w:r>
    </w:p>
    <w:p w14:paraId="12F93CE7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  <w:b/>
          <w:bCs/>
        </w:rPr>
      </w:pPr>
      <w:r w:rsidRPr="007356D3">
        <w:rPr>
          <w:rFonts w:ascii="Times New Roman" w:hAnsi="Times New Roman" w:cs="Times New Roman"/>
          <w:b/>
          <w:bCs/>
        </w:rPr>
        <w:t>Relation / Connection to Social Science Principles</w:t>
      </w:r>
    </w:p>
    <w:p w14:paraId="617D2AA4" w14:textId="07B7EB73" w:rsidR="004C475E" w:rsidRPr="004C475E" w:rsidRDefault="004C475E" w:rsidP="004C475E">
      <w:pPr>
        <w:spacing w:line="480" w:lineRule="auto"/>
        <w:ind w:firstLine="720"/>
        <w:rPr>
          <w:rFonts w:ascii="Times New Roman" w:hAnsi="Times New Roman" w:cs="Times New Roman"/>
        </w:rPr>
      </w:pPr>
      <w:r w:rsidRPr="004C475E">
        <w:rPr>
          <w:rFonts w:ascii="Times New Roman" w:hAnsi="Times New Roman" w:cs="Times New Roman"/>
        </w:rPr>
        <w:t xml:space="preserve">This study directly connects to our course objectives on applying scientific principles to cybersecurity. </w:t>
      </w:r>
      <w:r>
        <w:rPr>
          <w:rFonts w:ascii="Times New Roman" w:hAnsi="Times New Roman" w:cs="Times New Roman"/>
        </w:rPr>
        <w:t xml:space="preserve"> </w:t>
      </w:r>
      <w:r w:rsidRPr="004C475E">
        <w:rPr>
          <w:rFonts w:ascii="Times New Roman" w:hAnsi="Times New Roman" w:cs="Times New Roman"/>
        </w:rPr>
        <w:t xml:space="preserve">The article clearly forms research questions, identifies independent and dependent variables, and uses survey data, which reflects our discussions on research design and social science methods. </w:t>
      </w:r>
      <w:r>
        <w:rPr>
          <w:rFonts w:ascii="Times New Roman" w:hAnsi="Times New Roman" w:cs="Times New Roman"/>
        </w:rPr>
        <w:t xml:space="preserve"> </w:t>
      </w:r>
      <w:r w:rsidRPr="004C475E">
        <w:rPr>
          <w:rFonts w:ascii="Times New Roman" w:hAnsi="Times New Roman" w:cs="Times New Roman"/>
        </w:rPr>
        <w:t>It also aligns with our module on surveys and their benefits in cybersecurity research, since the authors used stakeholder survey data to support their findings.</w:t>
      </w:r>
    </w:p>
    <w:p w14:paraId="19D9B710" w14:textId="35D0591E" w:rsidR="004C475E" w:rsidRPr="004C475E" w:rsidRDefault="004C475E" w:rsidP="004C475E">
      <w:pPr>
        <w:spacing w:line="480" w:lineRule="auto"/>
        <w:ind w:firstLine="720"/>
        <w:rPr>
          <w:rFonts w:ascii="Times New Roman" w:hAnsi="Times New Roman" w:cs="Times New Roman"/>
        </w:rPr>
      </w:pPr>
      <w:r w:rsidRPr="004C475E">
        <w:rPr>
          <w:rFonts w:ascii="Times New Roman" w:hAnsi="Times New Roman" w:cs="Times New Roman"/>
        </w:rPr>
        <w:t xml:space="preserve">Additionally, the focus on liability and responsibility connects to our discussions on ethics, safety, and accountability in cyber systems. </w:t>
      </w:r>
      <w:r>
        <w:rPr>
          <w:rFonts w:ascii="Times New Roman" w:hAnsi="Times New Roman" w:cs="Times New Roman"/>
        </w:rPr>
        <w:t xml:space="preserve"> </w:t>
      </w:r>
      <w:r w:rsidRPr="004C475E">
        <w:rPr>
          <w:rFonts w:ascii="Times New Roman" w:hAnsi="Times New Roman" w:cs="Times New Roman"/>
        </w:rPr>
        <w:t>The study also relates to our human factors and psychology modules, as AI-related harm ultimately affects individuals and institutions, reinforcing how technology and human behavior intersect in cybersecurity.</w:t>
      </w:r>
    </w:p>
    <w:p w14:paraId="32CC20CC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  <w:b/>
          <w:bCs/>
        </w:rPr>
      </w:pPr>
      <w:r w:rsidRPr="007356D3">
        <w:rPr>
          <w:rFonts w:ascii="Times New Roman" w:hAnsi="Times New Roman" w:cs="Times New Roman"/>
          <w:b/>
          <w:bCs/>
        </w:rPr>
        <w:t>Research Question / Hypothesis / Independent Variable / Dependent Variable</w:t>
      </w:r>
    </w:p>
    <w:p w14:paraId="5C13056E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t>• Research Question: How does Jordanian law address civil liability for harm caused by artificial intelligence, and what reforms are necessary to clarify accountability?</w:t>
      </w:r>
    </w:p>
    <w:p w14:paraId="60C42633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lastRenderedPageBreak/>
        <w:t>• Hypothesis: The authors operate under the assumption that Jordan’s current legal framework is insufficient to regulate AI-related damages and requires reform.</w:t>
      </w:r>
    </w:p>
    <w:p w14:paraId="5FFA592D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t>• Independent Variable: Stakeholder awareness of AI liability laws, preferred liability models (strict, negligence-based, hybrid), and professional role (developer, policymaker, legal expert).</w:t>
      </w:r>
    </w:p>
    <w:p w14:paraId="74E6A3FB" w14:textId="3AD4E34F" w:rsidR="007356D3" w:rsidRPr="007356D3" w:rsidRDefault="007356D3" w:rsidP="007356D3">
      <w:pPr>
        <w:spacing w:line="480" w:lineRule="auto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t>• Dependent Variable: Support for legal reform, perceptions of accountability, and preferred assignment of responsibility for AI-related harm.</w:t>
      </w:r>
    </w:p>
    <w:p w14:paraId="4F2DBC1C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  <w:b/>
          <w:bCs/>
        </w:rPr>
      </w:pPr>
      <w:r w:rsidRPr="007356D3">
        <w:rPr>
          <w:rFonts w:ascii="Times New Roman" w:hAnsi="Times New Roman" w:cs="Times New Roman"/>
          <w:b/>
          <w:bCs/>
        </w:rPr>
        <w:t>Types of Research Methods Used</w:t>
      </w:r>
    </w:p>
    <w:p w14:paraId="2A5F40E7" w14:textId="39ADF295" w:rsidR="007356D3" w:rsidRPr="007356D3" w:rsidRDefault="007356D3" w:rsidP="007356D3">
      <w:pPr>
        <w:spacing w:line="480" w:lineRule="auto"/>
        <w:ind w:firstLine="720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t>The study used a mixed-method approach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Doctrinal legal analysis was conducted to examine Jordan’s Civil Code and Consumer Protection Law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Comparative analysis evaluated international frameworks such as the European Union’s AI Act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The researchers also conducted semi-structured interviews with legal professionals, AI developers, and policymakers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Additionally, a quantitative survey of 100 stakeholders was used to measure awareness and attitudes toward AI liability reform.</w:t>
      </w:r>
    </w:p>
    <w:p w14:paraId="2349A1BB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  <w:b/>
          <w:bCs/>
        </w:rPr>
      </w:pPr>
      <w:r w:rsidRPr="007356D3">
        <w:rPr>
          <w:rFonts w:ascii="Times New Roman" w:hAnsi="Times New Roman" w:cs="Times New Roman"/>
          <w:b/>
          <w:bCs/>
        </w:rPr>
        <w:t>Types of Data Analysis Used</w:t>
      </w:r>
    </w:p>
    <w:p w14:paraId="36407257" w14:textId="59CC5E57" w:rsidR="007356D3" w:rsidRPr="007356D3" w:rsidRDefault="007356D3" w:rsidP="007356D3">
      <w:pPr>
        <w:spacing w:line="480" w:lineRule="auto"/>
        <w:ind w:firstLine="720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t>The quantitative survey data were analyzed using descriptive statistics, including percentage distributions to measure stakeholder awareness and support for reform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Results showed significant knowledge gaps and strong support for strict liability models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Qualitative interview data were analyzed thematically to identify recurring concerns about accountability, regulatory gaps, and transparency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The combination of statistical and thematic analysis strengthened the overall findings.</w:t>
      </w:r>
    </w:p>
    <w:p w14:paraId="616F46C6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  <w:b/>
          <w:bCs/>
        </w:rPr>
      </w:pPr>
      <w:r w:rsidRPr="007356D3">
        <w:rPr>
          <w:rFonts w:ascii="Times New Roman" w:hAnsi="Times New Roman" w:cs="Times New Roman"/>
          <w:b/>
          <w:bCs/>
        </w:rPr>
        <w:t>Connections to Other Course Concepts</w:t>
      </w:r>
    </w:p>
    <w:p w14:paraId="2DF8B51D" w14:textId="4C6D3F30" w:rsidR="007356D3" w:rsidRPr="007356D3" w:rsidRDefault="007356D3" w:rsidP="007356D3">
      <w:pPr>
        <w:spacing w:line="480" w:lineRule="auto"/>
        <w:ind w:firstLine="720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lastRenderedPageBreak/>
        <w:t>This study connects directly to course discussions about risk, vulnerability, and governance in digital systems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Throughout the semester, we examined how institutions respond to technological innovation, and this article illustrates institutional lag in adapting to AI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The study also relates to our discussions of accountability in cybercrime research, where assigning responsibility for harm can be complex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Additionally, the use of mixed-method research reflects our emphasis on combining qualitative and quantitative approaches in cybersecurity studies.</w:t>
      </w:r>
    </w:p>
    <w:p w14:paraId="3948ECC8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  <w:b/>
          <w:bCs/>
        </w:rPr>
      </w:pPr>
      <w:r w:rsidRPr="007356D3">
        <w:rPr>
          <w:rFonts w:ascii="Times New Roman" w:hAnsi="Times New Roman" w:cs="Times New Roman"/>
          <w:b/>
          <w:bCs/>
        </w:rPr>
        <w:t>Connections to the Concerns or Contributions of Marginalized Groups</w:t>
      </w:r>
    </w:p>
    <w:p w14:paraId="38351CDF" w14:textId="0A655BD0" w:rsidR="007356D3" w:rsidRPr="007356D3" w:rsidRDefault="007356D3" w:rsidP="007356D3">
      <w:pPr>
        <w:spacing w:line="480" w:lineRule="auto"/>
        <w:ind w:firstLine="720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t>The lack of clear AI liability laws may disproportionately affect marginalized groups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Individuals with limited financial resources may struggle to pursue compensation for AI-related harm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Communities with lower digital literacy may be more vulnerable to automated decision-making errors in healthcare or financial systems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By advocating stricter accountability and clearer legal standards, the study supports stronger consumer protection and more equitable legal remedies.</w:t>
      </w:r>
    </w:p>
    <w:p w14:paraId="68A16AA1" w14:textId="77777777" w:rsidR="007356D3" w:rsidRPr="007356D3" w:rsidRDefault="007356D3" w:rsidP="007356D3">
      <w:pPr>
        <w:spacing w:line="480" w:lineRule="auto"/>
        <w:rPr>
          <w:rFonts w:ascii="Times New Roman" w:hAnsi="Times New Roman" w:cs="Times New Roman"/>
          <w:b/>
          <w:bCs/>
        </w:rPr>
      </w:pPr>
      <w:r w:rsidRPr="007356D3">
        <w:rPr>
          <w:rFonts w:ascii="Times New Roman" w:hAnsi="Times New Roman" w:cs="Times New Roman"/>
          <w:b/>
          <w:bCs/>
        </w:rPr>
        <w:t>Overall Societal Contributions of the Study / Conclusion</w:t>
      </w:r>
    </w:p>
    <w:p w14:paraId="1384979B" w14:textId="60707BFE" w:rsidR="007356D3" w:rsidRPr="007356D3" w:rsidRDefault="007356D3" w:rsidP="007356D3">
      <w:pPr>
        <w:spacing w:line="480" w:lineRule="auto"/>
        <w:ind w:firstLine="720"/>
        <w:rPr>
          <w:rFonts w:ascii="Times New Roman" w:hAnsi="Times New Roman" w:cs="Times New Roman"/>
        </w:rPr>
      </w:pPr>
      <w:r w:rsidRPr="007356D3">
        <w:rPr>
          <w:rFonts w:ascii="Times New Roman" w:hAnsi="Times New Roman" w:cs="Times New Roman"/>
        </w:rPr>
        <w:t>In conclusion, this study contributes to society by identifying significant legal gaps in Jordan’s regulation of AI-related harm and proposing structured reforms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The recommendation of strict liability for high-risk AI systems balances innovation with accountability</w:t>
      </w:r>
      <w:r>
        <w:rPr>
          <w:rFonts w:ascii="Times New Roman" w:hAnsi="Times New Roman" w:cs="Times New Roman"/>
        </w:rPr>
        <w:t xml:space="preserve">.  </w:t>
      </w:r>
      <w:r w:rsidRPr="007356D3">
        <w:rPr>
          <w:rFonts w:ascii="Times New Roman" w:hAnsi="Times New Roman" w:cs="Times New Roman"/>
        </w:rPr>
        <w:t>This study shows that AI regulation cannot be treated as just a technical issue; it requires legal and social reform as well.</w:t>
      </w:r>
      <w:r w:rsidR="0079797D">
        <w:rPr>
          <w:rFonts w:ascii="Times New Roman" w:hAnsi="Times New Roman" w:cs="Times New Roman"/>
        </w:rPr>
        <w:t xml:space="preserve">  </w:t>
      </w:r>
      <w:r w:rsidRPr="007356D3">
        <w:rPr>
          <w:rFonts w:ascii="Times New Roman" w:hAnsi="Times New Roman" w:cs="Times New Roman"/>
        </w:rPr>
        <w:t>As AI continues to expand globally, developing clear liability frameworks is essential for protecting citizens while encouraging responsible innovation.</w:t>
      </w:r>
    </w:p>
    <w:p w14:paraId="580F6F68" w14:textId="77777777" w:rsidR="009113F7" w:rsidRDefault="009113F7" w:rsidP="009113F7">
      <w:pPr>
        <w:spacing w:line="480" w:lineRule="auto"/>
        <w:rPr>
          <w:rFonts w:ascii="Times New Roman" w:hAnsi="Times New Roman" w:cs="Times New Roman"/>
        </w:rPr>
      </w:pPr>
    </w:p>
    <w:p w14:paraId="1CB49B87" w14:textId="2D239ED2" w:rsidR="007356D3" w:rsidRDefault="0070172F" w:rsidP="009113F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80F7369" w14:textId="101005CA" w:rsidR="009113F7" w:rsidRDefault="009113F7" w:rsidP="009113F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Reference</w:t>
      </w:r>
    </w:p>
    <w:p w14:paraId="07F5768B" w14:textId="011C2881" w:rsidR="009113F7" w:rsidRDefault="007524C7" w:rsidP="009113F7">
      <w:pPr>
        <w:spacing w:line="480" w:lineRule="auto"/>
        <w:rPr>
          <w:rFonts w:ascii="Times New Roman" w:hAnsi="Times New Roman" w:cs="Times New Roman"/>
        </w:rPr>
      </w:pPr>
      <w:r w:rsidRPr="007524C7">
        <w:rPr>
          <w:rFonts w:ascii="Times New Roman" w:hAnsi="Times New Roman" w:cs="Times New Roman"/>
        </w:rPr>
        <w:t>Al-</w:t>
      </w:r>
      <w:proofErr w:type="spellStart"/>
      <w:r w:rsidRPr="007524C7">
        <w:rPr>
          <w:rFonts w:ascii="Times New Roman" w:hAnsi="Times New Roman" w:cs="Times New Roman"/>
        </w:rPr>
        <w:t>Wreikat</w:t>
      </w:r>
      <w:proofErr w:type="spellEnd"/>
      <w:r w:rsidRPr="007524C7">
        <w:rPr>
          <w:rFonts w:ascii="Times New Roman" w:hAnsi="Times New Roman" w:cs="Times New Roman"/>
        </w:rPr>
        <w:t>, E</w:t>
      </w:r>
      <w:r>
        <w:rPr>
          <w:rFonts w:ascii="Times New Roman" w:hAnsi="Times New Roman" w:cs="Times New Roman"/>
        </w:rPr>
        <w:t>.</w:t>
      </w:r>
      <w:r w:rsidRPr="007524C7">
        <w:rPr>
          <w:rFonts w:ascii="Times New Roman" w:hAnsi="Times New Roman" w:cs="Times New Roman"/>
        </w:rPr>
        <w:t>I., Alali, E</w:t>
      </w:r>
      <w:r>
        <w:rPr>
          <w:rFonts w:ascii="Times New Roman" w:hAnsi="Times New Roman" w:cs="Times New Roman"/>
        </w:rPr>
        <w:t>.</w:t>
      </w:r>
      <w:r w:rsidRPr="007524C7">
        <w:rPr>
          <w:rFonts w:ascii="Times New Roman" w:hAnsi="Times New Roman" w:cs="Times New Roman"/>
        </w:rPr>
        <w:t xml:space="preserve">A., </w:t>
      </w:r>
      <w:proofErr w:type="spellStart"/>
      <w:r w:rsidRPr="007524C7">
        <w:rPr>
          <w:rFonts w:ascii="Times New Roman" w:hAnsi="Times New Roman" w:cs="Times New Roman"/>
        </w:rPr>
        <w:t>Altarawneh</w:t>
      </w:r>
      <w:proofErr w:type="spellEnd"/>
      <w:r w:rsidRPr="007524C7">
        <w:rPr>
          <w:rFonts w:ascii="Times New Roman" w:hAnsi="Times New Roman" w:cs="Times New Roman"/>
        </w:rPr>
        <w:t>, S</w:t>
      </w:r>
      <w:r>
        <w:rPr>
          <w:rFonts w:ascii="Times New Roman" w:hAnsi="Times New Roman" w:cs="Times New Roman"/>
        </w:rPr>
        <w:t>.</w:t>
      </w:r>
      <w:r w:rsidRPr="007524C7">
        <w:rPr>
          <w:rFonts w:ascii="Times New Roman" w:hAnsi="Times New Roman" w:cs="Times New Roman"/>
        </w:rPr>
        <w:t xml:space="preserve">M., </w:t>
      </w:r>
      <w:proofErr w:type="spellStart"/>
      <w:r w:rsidRPr="007524C7">
        <w:rPr>
          <w:rFonts w:ascii="Times New Roman" w:hAnsi="Times New Roman" w:cs="Times New Roman"/>
        </w:rPr>
        <w:t>Alabdallat</w:t>
      </w:r>
      <w:proofErr w:type="spellEnd"/>
      <w:r w:rsidRPr="007524C7">
        <w:rPr>
          <w:rFonts w:ascii="Times New Roman" w:hAnsi="Times New Roman" w:cs="Times New Roman"/>
        </w:rPr>
        <w:t>, F</w:t>
      </w:r>
      <w:r>
        <w:rPr>
          <w:rFonts w:ascii="Times New Roman" w:hAnsi="Times New Roman" w:cs="Times New Roman"/>
        </w:rPr>
        <w:t>.</w:t>
      </w:r>
      <w:r w:rsidRPr="007524C7">
        <w:rPr>
          <w:rFonts w:ascii="Times New Roman" w:hAnsi="Times New Roman" w:cs="Times New Roman"/>
        </w:rPr>
        <w:t xml:space="preserve">M., </w:t>
      </w:r>
      <w:proofErr w:type="spellStart"/>
      <w:r w:rsidRPr="007524C7">
        <w:rPr>
          <w:rFonts w:ascii="Times New Roman" w:hAnsi="Times New Roman" w:cs="Times New Roman"/>
        </w:rPr>
        <w:t>Qtaishat</w:t>
      </w:r>
      <w:proofErr w:type="spellEnd"/>
      <w:r w:rsidRPr="007524C7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>.</w:t>
      </w:r>
      <w:r w:rsidRPr="007524C7">
        <w:rPr>
          <w:rFonts w:ascii="Times New Roman" w:hAnsi="Times New Roman" w:cs="Times New Roman"/>
        </w:rPr>
        <w:t>K., &amp; Al-kade, M</w:t>
      </w:r>
      <w:r>
        <w:rPr>
          <w:rFonts w:ascii="Times New Roman" w:hAnsi="Times New Roman" w:cs="Times New Roman"/>
        </w:rPr>
        <w:t>.</w:t>
      </w:r>
      <w:r w:rsidRPr="007524C7">
        <w:rPr>
          <w:rFonts w:ascii="Times New Roman" w:hAnsi="Times New Roman" w:cs="Times New Roman"/>
        </w:rPr>
        <w:t>J</w:t>
      </w:r>
      <w:r w:rsidR="007356D3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</w:t>
      </w:r>
      <w:r w:rsidRPr="007524C7">
        <w:rPr>
          <w:rFonts w:ascii="Times New Roman" w:hAnsi="Times New Roman" w:cs="Times New Roman"/>
        </w:rPr>
        <w:t>(2025)</w:t>
      </w:r>
      <w:r w:rsidR="007356D3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</w:t>
      </w:r>
      <w:r w:rsidRPr="007524C7">
        <w:rPr>
          <w:rFonts w:ascii="Times New Roman" w:hAnsi="Times New Roman" w:cs="Times New Roman"/>
          <w:i/>
          <w:iCs/>
        </w:rPr>
        <w:t>Event regulating civil liability for artificial intelligence damages in Jordanian legislation</w:t>
      </w:r>
      <w:r w:rsidR="007356D3">
        <w:rPr>
          <w:rFonts w:ascii="Times New Roman" w:hAnsi="Times New Roman" w:cs="Times New Roman"/>
          <w:i/>
          <w:iCs/>
        </w:rPr>
        <w:t xml:space="preserve">.  </w:t>
      </w:r>
      <w:r w:rsidRPr="007524C7">
        <w:rPr>
          <w:rFonts w:ascii="Times New Roman" w:hAnsi="Times New Roman" w:cs="Times New Roman"/>
        </w:rPr>
        <w:t>International Journal of Cyber Criminology, 19(1), 100–113.</w:t>
      </w:r>
    </w:p>
    <w:p w14:paraId="37F5F852" w14:textId="5622716A" w:rsidR="007524C7" w:rsidRPr="007524C7" w:rsidRDefault="007524C7" w:rsidP="009113F7">
      <w:pPr>
        <w:spacing w:line="480" w:lineRule="auto"/>
        <w:rPr>
          <w:rFonts w:ascii="Times New Roman" w:hAnsi="Times New Roman" w:cs="Times New Roman"/>
        </w:rPr>
      </w:pPr>
      <w:hyperlink r:id="rId6" w:history="1">
        <w:r w:rsidRPr="00B46EBA">
          <w:rPr>
            <w:rStyle w:val="Hyperlink"/>
            <w:rFonts w:ascii="Times New Roman" w:hAnsi="Times New Roman" w:cs="Times New Roman"/>
          </w:rPr>
          <w:t>https://cybercrimejournal.com/menuscript/index.php/cybercrimejournal/article/view/450/130</w:t>
        </w:r>
      </w:hyperlink>
      <w:r>
        <w:rPr>
          <w:rFonts w:ascii="Times New Roman" w:hAnsi="Times New Roman" w:cs="Times New Roman"/>
        </w:rPr>
        <w:t xml:space="preserve"> </w:t>
      </w:r>
    </w:p>
    <w:sectPr w:rsidR="007524C7" w:rsidRPr="007524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73A5" w14:textId="77777777" w:rsidR="00AA7A37" w:rsidRDefault="00AA7A37" w:rsidP="009113F7">
      <w:pPr>
        <w:spacing w:after="0" w:line="240" w:lineRule="auto"/>
      </w:pPr>
      <w:r>
        <w:separator/>
      </w:r>
    </w:p>
  </w:endnote>
  <w:endnote w:type="continuationSeparator" w:id="0">
    <w:p w14:paraId="36462D96" w14:textId="77777777" w:rsidR="00AA7A37" w:rsidRDefault="00AA7A37" w:rsidP="0091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71B1" w14:textId="77777777" w:rsidR="00AA7A37" w:rsidRDefault="00AA7A37" w:rsidP="009113F7">
      <w:pPr>
        <w:spacing w:after="0" w:line="240" w:lineRule="auto"/>
      </w:pPr>
      <w:r>
        <w:separator/>
      </w:r>
    </w:p>
  </w:footnote>
  <w:footnote w:type="continuationSeparator" w:id="0">
    <w:p w14:paraId="7587D5F4" w14:textId="77777777" w:rsidR="00AA7A37" w:rsidRDefault="00AA7A37" w:rsidP="0091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4938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AF2501" w14:textId="23D5E4B5" w:rsidR="007356D3" w:rsidRDefault="007356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96675" w14:textId="77777777" w:rsidR="009113F7" w:rsidRDefault="0091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7"/>
    <w:rsid w:val="000B0E9B"/>
    <w:rsid w:val="000C56C2"/>
    <w:rsid w:val="0013434C"/>
    <w:rsid w:val="0021006C"/>
    <w:rsid w:val="004C475E"/>
    <w:rsid w:val="0070172F"/>
    <w:rsid w:val="007356D3"/>
    <w:rsid w:val="007524C7"/>
    <w:rsid w:val="0079797D"/>
    <w:rsid w:val="008E3C04"/>
    <w:rsid w:val="009113F7"/>
    <w:rsid w:val="00AA7A37"/>
    <w:rsid w:val="00FB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0F48"/>
  <w15:chartTrackingRefBased/>
  <w15:docId w15:val="{101CAADB-8DA5-42C4-80BF-CAF01241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1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3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1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F7"/>
  </w:style>
  <w:style w:type="paragraph" w:styleId="Footer">
    <w:name w:val="footer"/>
    <w:basedOn w:val="Normal"/>
    <w:link w:val="FooterChar"/>
    <w:uiPriority w:val="99"/>
    <w:unhideWhenUsed/>
    <w:rsid w:val="00911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F7"/>
  </w:style>
  <w:style w:type="paragraph" w:styleId="NormalWeb">
    <w:name w:val="Normal (Web)"/>
    <w:basedOn w:val="Normal"/>
    <w:uiPriority w:val="99"/>
    <w:semiHidden/>
    <w:unhideWhenUsed/>
    <w:rsid w:val="009113F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524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crimejournal.com/menuscript/index.php/cybercrimejournal/article/view/450/1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DORIAN T.</dc:creator>
  <cp:keywords/>
  <dc:description/>
  <cp:lastModifiedBy>JONES, DORIAN T.</cp:lastModifiedBy>
  <cp:revision>4</cp:revision>
  <dcterms:created xsi:type="dcterms:W3CDTF">2026-02-17T16:29:00Z</dcterms:created>
  <dcterms:modified xsi:type="dcterms:W3CDTF">2026-02-18T16:10:00Z</dcterms:modified>
</cp:coreProperties>
</file>