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0000"/>
          <w:sz w:val="32"/>
          <w:szCs w:val="32"/>
        </w:rPr>
        <w:t xml:space="preserve">Thrive — Growth &amp; Paid User Acquisition Plan</w:t>
      </w:r>
    </w:p>
    <w:p>
      <w:pPr>
        <w:pBdr>
          <w:bottom w:val="single" w:color="BFBFBF" w:sz="6" w:space="6"/>
        </w:pBdr>
        <w:spacing w:after="240"/>
      </w:pPr>
      <w:r>
        <w:rPr>
          <w:rFonts w:ascii="Calibri" w:cs="Calibri" w:eastAsia="Calibri" w:hAnsi="Calibri"/>
          <w:color w:val="595959"/>
          <w:sz w:val="20"/>
          <w:szCs w:val="20"/>
        </w:rPr>
        <w:t xml:space="preserve">Everett Bostwick  |  Portfolio Artifact  |  Skill 3: Independent Business Operations</w:t>
      </w:r>
    </w:p>
    <w:p>
      <w:pPr>
        <w:pBdr>
          <w:left w:val="single" w:color="C00000" w:sz="12" w:space="8"/>
        </w:pBdr>
        <w:spacing w:after="120" w:before="200"/>
        <w:ind w:left="160"/>
      </w:pPr>
      <w:r>
        <w:rPr>
          <w:rFonts w:ascii="Calibri" w:cs="Calibri" w:eastAsia="Calibri" w:hAnsi="Calibri"/>
          <w:i/>
          <w:iCs/>
          <w:color w:val="7F1010"/>
          <w:sz w:val="19"/>
          <w:szCs w:val="19"/>
        </w:rPr>
        <w:t xml:space="preserve">Insert your real figures in the Performance section before uploading. Do not publish numbers you have not verified — an empty table with a note is better than an invented one.</w:t>
      </w:r>
    </w:p>
    <w:p>
      <w:pPr>
        <w:pStyle w:val="Heading2"/>
        <w:spacing w:after="100" w:before="280"/>
      </w:pPr>
      <w:r>
        <w:rPr>
          <w:rFonts w:ascii="Calibri" w:cs="Calibri" w:eastAsia="Calibri" w:hAnsi="Calibri"/>
          <w:b/>
          <w:bCs/>
          <w:color w:val="000000"/>
          <w:sz w:val="24"/>
          <w:szCs w:val="24"/>
        </w:rPr>
        <w:t xml:space="preserve">Objective</w:t>
      </w:r>
    </w:p>
    <w:p>
      <w:pPr>
        <w:spacing w:after="120"/>
      </w:pPr>
      <w:r>
        <w:rPr>
          <w:rFonts w:ascii="Calibri" w:cs="Calibri" w:eastAsia="Calibri" w:hAnsi="Calibri"/>
          <w:b w:val="false"/>
          <w:bCs w:val="false"/>
          <w:i w:val="false"/>
          <w:iCs w:val="false"/>
          <w:color w:val="000000"/>
          <w:sz w:val="22"/>
          <w:szCs w:val="22"/>
        </w:rPr>
        <w:t xml:space="preserve">Move Thrive from organic App Store discovery to a measurable paid acquisition engine, with attribution clean enough that spend decisions are based on data rather than intuition. The company is backed by an outside investor, so scaling spend is viable — which makes measurement accuracy the constraint, not budget.</w:t>
      </w:r>
    </w:p>
    <w:p>
      <w:pPr>
        <w:pStyle w:val="Heading2"/>
        <w:spacing w:after="100" w:before="280"/>
      </w:pPr>
      <w:r>
        <w:rPr>
          <w:rFonts w:ascii="Calibri" w:cs="Calibri" w:eastAsia="Calibri" w:hAnsi="Calibri"/>
          <w:b/>
          <w:bCs/>
          <w:color w:val="000000"/>
          <w:sz w:val="24"/>
          <w:szCs w:val="24"/>
        </w:rPr>
        <w:t xml:space="preserve">Channel Strategy</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700"/>
        <w:gridCol w:w="4380"/>
        <w:gridCol w:w="2100"/>
      </w:tblGrid>
      <w:tr>
        <w:trPr>
          <w:tblHeader/>
        </w:trPr>
        <w:tc>
          <w:tcPr>
            <w:tcW w:type="dxa" w:w="27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Channel</w:t>
            </w:r>
          </w:p>
        </w:tc>
        <w:tc>
          <w:tcPr>
            <w:tcW w:type="dxa" w:w="438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Role</w:t>
            </w:r>
          </w:p>
        </w:tc>
        <w:tc>
          <w:tcPr>
            <w:tcW w:type="dxa" w:w="21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Status</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Meta (Instagram / Facebook)</w:t>
            </w:r>
          </w:p>
        </w:tc>
        <w:tc>
          <w:tcPr>
            <w:tcW w:type="dxa" w:w="43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Primary paid channel; broad reach and strong creative testing velocity</w:t>
            </w:r>
          </w:p>
        </w:tc>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Live</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TikTok</w:t>
            </w:r>
          </w:p>
        </w:tc>
        <w:tc>
          <w:tcPr>
            <w:tcW w:type="dxa" w:w="43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Secondary paid channel; native fit for short-form wellness and screen-time content</w:t>
            </w:r>
          </w:p>
        </w:tc>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Live</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Influencer / creator</w:t>
            </w:r>
          </w:p>
        </w:tc>
        <w:tc>
          <w:tcPr>
            <w:tcW w:type="dxa" w:w="43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Seeded organic content plus paid posts; see separate outreach artifact</w:t>
            </w:r>
          </w:p>
        </w:tc>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In progress</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App Store Optimization</w:t>
            </w:r>
          </w:p>
        </w:tc>
        <w:tc>
          <w:tcPr>
            <w:tcW w:type="dxa" w:w="43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Converts channel traffic once it lands on the product page</w:t>
            </w:r>
          </w:p>
        </w:tc>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In progress</w:t>
            </w:r>
          </w:p>
        </w:tc>
      </w:tr>
    </w:tbl>
    <w:p>
      <w:pPr>
        <w:pStyle w:val="Heading2"/>
        <w:spacing w:after="100" w:before="280"/>
      </w:pPr>
      <w:r>
        <w:rPr>
          <w:rFonts w:ascii="Calibri" w:cs="Calibri" w:eastAsia="Calibri" w:hAnsi="Calibri"/>
          <w:b/>
          <w:bCs/>
          <w:color w:val="000000"/>
          <w:sz w:val="24"/>
          <w:szCs w:val="24"/>
        </w:rPr>
        <w:t xml:space="preserve">Attribution Infrastructure</w:t>
      </w:r>
    </w:p>
    <w:p>
      <w:pPr>
        <w:spacing w:after="120"/>
      </w:pPr>
      <w:r>
        <w:rPr>
          <w:rFonts w:ascii="Calibri" w:cs="Calibri" w:eastAsia="Calibri" w:hAnsi="Calibri"/>
          <w:b w:val="false"/>
          <w:bCs w:val="false"/>
          <w:i w:val="false"/>
          <w:iCs w:val="false"/>
          <w:color w:val="000000"/>
          <w:sz w:val="22"/>
          <w:szCs w:val="22"/>
        </w:rPr>
        <w:t xml:space="preserve">Paid acquisition on iOS is only as good as the measurement behind it. The setup below took longer than the campaigns themselves.</w:t>
      </w:r>
    </w:p>
    <w:p>
      <w:pPr>
        <w:pStyle w:val="ListParagraph"/>
        <w:numPr>
          <w:ilvl w:val="0"/>
          <w:numId w:val="2"/>
        </w:numPr>
        <w:spacing w:after="60"/>
      </w:pPr>
      <w:r>
        <w:rPr>
          <w:rFonts w:ascii="Calibri" w:cs="Calibri" w:eastAsia="Calibri" w:hAnsi="Calibri"/>
          <w:b/>
          <w:bCs/>
          <w:sz w:val="22"/>
          <w:szCs w:val="22"/>
        </w:rPr>
        <w:t xml:space="preserve">MMP selection</w:t>
      </w:r>
      <w:r>
        <w:rPr>
          <w:rFonts w:ascii="Calibri" w:cs="Calibri" w:eastAsia="Calibri" w:hAnsi="Calibri"/>
          <w:sz w:val="22"/>
          <w:szCs w:val="22"/>
        </w:rPr>
        <w:t xml:space="preserve"> — evaluated AppsFlyer against Adjust and chose AppsFlyer. The free tier covers the current non-organic install volume, which matters at this stage.</w:t>
      </w:r>
    </w:p>
    <w:p>
      <w:pPr>
        <w:pStyle w:val="ListParagraph"/>
        <w:numPr>
          <w:ilvl w:val="0"/>
          <w:numId w:val="2"/>
        </w:numPr>
        <w:spacing w:after="60"/>
      </w:pPr>
      <w:r>
        <w:rPr>
          <w:rFonts w:ascii="Calibri" w:cs="Calibri" w:eastAsia="Calibri" w:hAnsi="Calibri"/>
          <w:b/>
          <w:bCs/>
          <w:sz w:val="22"/>
          <w:szCs w:val="22"/>
        </w:rPr>
        <w:t xml:space="preserve">SDK integration</w:t>
      </w:r>
      <w:r>
        <w:rPr>
          <w:rFonts w:ascii="Calibri" w:cs="Calibri" w:eastAsia="Calibri" w:hAnsi="Calibri"/>
          <w:sz w:val="22"/>
          <w:szCs w:val="22"/>
        </w:rPr>
        <w:t xml:space="preserve"> — AppsFlyer integrated through Swift Package Manager as a static framework.</w:t>
      </w:r>
    </w:p>
    <w:p>
      <w:pPr>
        <w:pStyle w:val="ListParagraph"/>
        <w:numPr>
          <w:ilvl w:val="0"/>
          <w:numId w:val="2"/>
        </w:numPr>
        <w:spacing w:after="60"/>
      </w:pPr>
      <w:r>
        <w:rPr>
          <w:rFonts w:ascii="Calibri" w:cs="Calibri" w:eastAsia="Calibri" w:hAnsi="Calibri"/>
          <w:b/>
          <w:bCs/>
          <w:sz w:val="22"/>
          <w:szCs w:val="22"/>
        </w:rPr>
        <w:t xml:space="preserve">ATT flow</w:t>
      </w:r>
      <w:r>
        <w:rPr>
          <w:rFonts w:ascii="Calibri" w:cs="Calibri" w:eastAsia="Calibri" w:hAnsi="Calibri"/>
          <w:sz w:val="22"/>
          <w:szCs w:val="22"/>
        </w:rPr>
        <w:t xml:space="preserve"> — a pre-prompt screen precedes the system App Tracking Transparency dialog, so users understand the ask before iOS gives them a one-shot decision.</w:t>
      </w:r>
    </w:p>
    <w:p>
      <w:pPr>
        <w:pStyle w:val="ListParagraph"/>
        <w:numPr>
          <w:ilvl w:val="0"/>
          <w:numId w:val="2"/>
        </w:numPr>
        <w:spacing w:after="60"/>
      </w:pPr>
      <w:r>
        <w:rPr>
          <w:rFonts w:ascii="Calibri" w:cs="Calibri" w:eastAsia="Calibri" w:hAnsi="Calibri"/>
          <w:b/>
          <w:bCs/>
          <w:sz w:val="22"/>
          <w:szCs w:val="22"/>
        </w:rPr>
        <w:t xml:space="preserve">Superwall workaround</w:t>
      </w:r>
      <w:r>
        <w:rPr>
          <w:rFonts w:ascii="Calibri" w:cs="Calibri" w:eastAsia="Calibri" w:hAnsi="Calibri"/>
          <w:sz w:val="22"/>
          <w:szCs w:val="22"/>
        </w:rPr>
        <w:t xml:space="preserve"> — Superwall’s native AppsFlyer integration did not function as documented. I routed purchase events through AppsFlyer’s Purchase Connector instead, which restored revenue attribution without abandoning the remote paywall.</w:t>
      </w:r>
    </w:p>
    <w:p>
      <w:pPr>
        <w:pStyle w:val="ListParagraph"/>
        <w:numPr>
          <w:ilvl w:val="0"/>
          <w:numId w:val="2"/>
        </w:numPr>
        <w:spacing w:after="60"/>
      </w:pPr>
      <w:r>
        <w:rPr>
          <w:rFonts w:ascii="Calibri" w:cs="Calibri" w:eastAsia="Calibri" w:hAnsi="Calibri"/>
          <w:b/>
          <w:bCs/>
          <w:sz w:val="22"/>
          <w:szCs w:val="22"/>
        </w:rPr>
        <w:t xml:space="preserve">SKAdNetwork</w:t>
      </w:r>
      <w:r>
        <w:rPr>
          <w:rFonts w:ascii="Calibri" w:cs="Calibri" w:eastAsia="Calibri" w:hAnsi="Calibri"/>
          <w:sz w:val="22"/>
          <w:szCs w:val="22"/>
        </w:rPr>
        <w:t xml:space="preserve"> — conversion value mapping being completed in AppsFlyer Conversion Studio to make post-install value measurable within Apple’s privacy constraints.</w:t>
      </w:r>
    </w:p>
    <w:p>
      <w:pPr>
        <w:pStyle w:val="Heading2"/>
        <w:spacing w:after="100" w:before="280"/>
      </w:pPr>
      <w:r>
        <w:rPr>
          <w:rFonts w:ascii="Calibri" w:cs="Calibri" w:eastAsia="Calibri" w:hAnsi="Calibri"/>
          <w:b/>
          <w:bCs/>
          <w:color w:val="000000"/>
          <w:sz w:val="24"/>
          <w:szCs w:val="24"/>
        </w:rPr>
        <w:t xml:space="preserve">Event Mapping</w:t>
      </w:r>
    </w:p>
    <w:p>
      <w:pPr>
        <w:spacing w:after="120"/>
      </w:pPr>
      <w:r>
        <w:rPr>
          <w:rFonts w:ascii="Calibri" w:cs="Calibri" w:eastAsia="Calibri" w:hAnsi="Calibri"/>
          <w:b w:val="false"/>
          <w:bCs w:val="false"/>
          <w:i w:val="false"/>
          <w:iCs w:val="false"/>
          <w:color w:val="000000"/>
          <w:sz w:val="22"/>
          <w:szCs w:val="22"/>
        </w:rPr>
        <w:t xml:space="preserve">The following events are mapped to both Meta and TikTok so each platform can optimize toward real value rather than installs alone.</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300"/>
      </w:tblGrid>
      <w:tr>
        <w:trPr>
          <w:tblHeader/>
        </w:trPr>
        <w:tc>
          <w:tcPr>
            <w:tcW w:type="dxa" w:w="24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Event</w:t>
            </w:r>
          </w:p>
        </w:tc>
        <w:tc>
          <w:tcPr>
            <w:tcW w:type="dxa" w:w="348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Meaning</w:t>
            </w:r>
          </w:p>
        </w:tc>
        <w:tc>
          <w:tcPr>
            <w:tcW w:type="dxa" w:w="33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Why it is mapped</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onboarding_completed</w:t>
            </w:r>
          </w:p>
        </w:tc>
        <w:tc>
          <w:tcPr>
            <w:tcW w:type="dxa" w:w="34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User finished setup and configured blocking</w:t>
            </w:r>
          </w:p>
        </w:tc>
        <w:tc>
          <w:tcPr>
            <w:tcW w:type="dxa" w:w="33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Earliest reliable signal of a real user</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af_start_trial</w:t>
            </w:r>
          </w:p>
        </w:tc>
        <w:tc>
          <w:tcPr>
            <w:tcW w:type="dxa" w:w="34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Free trial started</w:t>
            </w:r>
          </w:p>
        </w:tc>
        <w:tc>
          <w:tcPr>
            <w:tcW w:type="dxa" w:w="33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Primary mid-funnel optimization target</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af_subscribe</w:t>
            </w:r>
          </w:p>
        </w:tc>
        <w:tc>
          <w:tcPr>
            <w:tcW w:type="dxa" w:w="34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Subscription activated</w:t>
            </w:r>
          </w:p>
        </w:tc>
        <w:tc>
          <w:tcPr>
            <w:tcW w:type="dxa" w:w="33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Revenue signal</w:t>
            </w:r>
          </w:p>
        </w:tc>
      </w:tr>
      <w:tr>
        <w:tc>
          <w:tcPr>
            <w:tcW w:type="dxa" w:w="24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af_purchase</w:t>
            </w:r>
          </w:p>
        </w:tc>
        <w:tc>
          <w:tcPr>
            <w:tcW w:type="dxa" w:w="34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Purchase completed</w:t>
            </w:r>
          </w:p>
        </w:tc>
        <w:tc>
          <w:tcPr>
            <w:tcW w:type="dxa" w:w="33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Revenue signal and ROAS input</w:t>
            </w:r>
          </w:p>
        </w:tc>
      </w:tr>
    </w:tbl>
    <w:p>
      <w:pPr>
        <w:pStyle w:val="Heading2"/>
        <w:spacing w:after="100" w:before="280"/>
      </w:pPr>
      <w:r>
        <w:rPr>
          <w:rFonts w:ascii="Calibri" w:cs="Calibri" w:eastAsia="Calibri" w:hAnsi="Calibri"/>
          <w:b/>
          <w:bCs/>
          <w:color w:val="000000"/>
          <w:sz w:val="24"/>
          <w:szCs w:val="24"/>
        </w:rPr>
        <w:t xml:space="preserve">Monetization Decisions</w:t>
      </w:r>
    </w:p>
    <w:p>
      <w:pPr>
        <w:pStyle w:val="ListParagraph"/>
        <w:numPr>
          <w:ilvl w:val="0"/>
          <w:numId w:val="2"/>
        </w:numPr>
        <w:spacing w:after="60"/>
      </w:pPr>
      <w:r>
        <w:rPr>
          <w:rFonts w:ascii="Calibri" w:cs="Calibri" w:eastAsia="Calibri" w:hAnsi="Calibri"/>
          <w:b/>
          <w:bCs/>
          <w:sz w:val="22"/>
          <w:szCs w:val="22"/>
        </w:rPr>
        <w:t xml:space="preserve">Trial length</w:t>
      </w:r>
      <w:r>
        <w:rPr>
          <w:rFonts w:ascii="Calibri" w:cs="Calibri" w:eastAsia="Calibri" w:hAnsi="Calibri"/>
          <w:sz w:val="22"/>
          <w:szCs w:val="22"/>
        </w:rPr>
        <w:t xml:space="preserve"> — moved from a 3-day to a 7-day free trial. A behavior-change product needs more than a weekend to prove value, and the longer window gives the habit time to form before the charge lands.</w:t>
      </w:r>
    </w:p>
    <w:p>
      <w:pPr>
        <w:pStyle w:val="ListParagraph"/>
        <w:numPr>
          <w:ilvl w:val="0"/>
          <w:numId w:val="2"/>
        </w:numPr>
        <w:spacing w:after="60"/>
      </w:pPr>
      <w:r>
        <w:rPr>
          <w:rFonts w:ascii="Calibri" w:cs="Calibri" w:eastAsia="Calibri" w:hAnsi="Calibri"/>
          <w:b/>
          <w:bCs/>
          <w:sz w:val="22"/>
          <w:szCs w:val="22"/>
        </w:rPr>
        <w:t xml:space="preserve">Model</w:t>
      </w:r>
      <w:r>
        <w:rPr>
          <w:rFonts w:ascii="Calibri" w:cs="Calibri" w:eastAsia="Calibri" w:hAnsi="Calibri"/>
          <w:sz w:val="22"/>
          <w:szCs w:val="22"/>
        </w:rPr>
        <w:t xml:space="preserve"> — hybrid freemium and paywall rather than a hard wall, so the product can acquire users at lower friction and convert on demonstrated value.</w:t>
      </w:r>
    </w:p>
    <w:p>
      <w:pPr>
        <w:pStyle w:val="ListParagraph"/>
        <w:numPr>
          <w:ilvl w:val="0"/>
          <w:numId w:val="2"/>
        </w:numPr>
        <w:spacing w:after="60"/>
      </w:pPr>
      <w:r>
        <w:rPr>
          <w:rFonts w:ascii="Calibri" w:cs="Calibri" w:eastAsia="Calibri" w:hAnsi="Calibri"/>
          <w:b/>
          <w:bCs/>
          <w:sz w:val="22"/>
          <w:szCs w:val="22"/>
        </w:rPr>
        <w:t xml:space="preserve">Comparable</w:t>
      </w:r>
      <w:r>
        <w:rPr>
          <w:rFonts w:ascii="Calibri" w:cs="Calibri" w:eastAsia="Calibri" w:hAnsi="Calibri"/>
          <w:sz w:val="22"/>
          <w:szCs w:val="22"/>
        </w:rPr>
        <w:t xml:space="preserve"> — strategy informed by Opal’s freemium transition, which is the closest analog in the screen-time category.</w:t>
      </w:r>
    </w:p>
    <w:p>
      <w:pPr>
        <w:pStyle w:val="Heading2"/>
        <w:spacing w:after="100" w:before="280"/>
      </w:pPr>
      <w:r>
        <w:rPr>
          <w:rFonts w:ascii="Calibri" w:cs="Calibri" w:eastAsia="Calibri" w:hAnsi="Calibri"/>
          <w:b/>
          <w:bCs/>
          <w:color w:val="000000"/>
          <w:sz w:val="24"/>
          <w:szCs w:val="24"/>
        </w:rPr>
        <w:t xml:space="preserve">Creative Concepts in Test</w:t>
      </w:r>
    </w:p>
    <w:p>
      <w:pPr>
        <w:pStyle w:val="ListParagraph"/>
        <w:numPr>
          <w:ilvl w:val="0"/>
          <w:numId w:val="2"/>
        </w:numPr>
        <w:spacing w:after="60"/>
      </w:pPr>
      <w:r>
        <w:rPr>
          <w:rFonts w:ascii="Calibri" w:cs="Calibri" w:eastAsia="Calibri" w:hAnsi="Calibri"/>
          <w:sz w:val="22"/>
          <w:szCs w:val="22"/>
        </w:rPr>
        <w:t xml:space="preserve">Pill container — the daily task set framed as a physical pill organizer (highest-potential concept)</w:t>
      </w:r>
    </w:p>
    <w:p>
      <w:pPr>
        <w:pStyle w:val="ListParagraph"/>
        <w:numPr>
          <w:ilvl w:val="0"/>
          <w:numId w:val="2"/>
        </w:numPr>
        <w:spacing w:after="60"/>
      </w:pPr>
      <w:r>
        <w:rPr>
          <w:rFonts w:ascii="Calibri" w:cs="Calibri" w:eastAsia="Calibri" w:hAnsi="Calibri"/>
          <w:sz w:val="22"/>
          <w:szCs w:val="22"/>
        </w:rPr>
        <w:t xml:space="preserve">Screen time report reveal — reacting to a real weekly Screen Time number</w:t>
      </w:r>
    </w:p>
    <w:p>
      <w:pPr>
        <w:pStyle w:val="ListParagraph"/>
        <w:numPr>
          <w:ilvl w:val="0"/>
          <w:numId w:val="2"/>
        </w:numPr>
        <w:spacing w:after="60"/>
      </w:pPr>
      <w:r>
        <w:rPr>
          <w:rFonts w:ascii="Calibri" w:cs="Calibri" w:eastAsia="Calibri" w:hAnsi="Calibri"/>
          <w:sz w:val="22"/>
          <w:szCs w:val="22"/>
        </w:rPr>
        <w:t xml:space="preserve">Morning routine unlock — tasks completed, apps unlock</w:t>
      </w:r>
    </w:p>
    <w:p>
      <w:pPr>
        <w:pStyle w:val="ListParagraph"/>
        <w:numPr>
          <w:ilvl w:val="0"/>
          <w:numId w:val="2"/>
        </w:numPr>
        <w:spacing w:after="60"/>
      </w:pPr>
      <w:r>
        <w:rPr>
          <w:rFonts w:ascii="Calibri" w:cs="Calibri" w:eastAsia="Calibri" w:hAnsi="Calibri"/>
          <w:sz w:val="22"/>
          <w:szCs w:val="22"/>
        </w:rPr>
        <w:t xml:space="preserve">Skip journal confession — reading back real skip reasons</w:t>
      </w:r>
    </w:p>
    <w:p>
      <w:pPr>
        <w:pStyle w:val="ListParagraph"/>
        <w:numPr>
          <w:ilvl w:val="0"/>
          <w:numId w:val="2"/>
        </w:numPr>
        <w:spacing w:after="60"/>
      </w:pPr>
      <w:r>
        <w:rPr>
          <w:rFonts w:ascii="Calibri" w:cs="Calibri" w:eastAsia="Calibri" w:hAnsi="Calibri"/>
          <w:sz w:val="22"/>
          <w:szCs w:val="22"/>
        </w:rPr>
        <w:t xml:space="preserve">Streak protector — loss-aversion angle around an existing streak</w:t>
      </w:r>
    </w:p>
    <w:p>
      <w:pPr>
        <w:pStyle w:val="Heading2"/>
        <w:spacing w:after="100" w:before="280"/>
      </w:pPr>
      <w:r>
        <w:rPr>
          <w:rFonts w:ascii="Calibri" w:cs="Calibri" w:eastAsia="Calibri" w:hAnsi="Calibri"/>
          <w:b/>
          <w:bCs/>
          <w:color w:val="000000"/>
          <w:sz w:val="24"/>
          <w:szCs w:val="24"/>
        </w:rPr>
        <w:t xml:space="preserve">Performance</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700"/>
        <w:gridCol w:w="2160"/>
        <w:gridCol w:w="2160"/>
        <w:gridCol w:w="2160"/>
      </w:tblGrid>
      <w:tr>
        <w:trPr>
          <w:tblHeader/>
        </w:trPr>
        <w:tc>
          <w:tcPr>
            <w:tcW w:type="dxa" w:w="27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Metric</w:t>
            </w:r>
          </w:p>
        </w:tc>
        <w:tc>
          <w:tcPr>
            <w:tcW w:type="dxa" w:w="216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Meta</w:t>
            </w:r>
          </w:p>
        </w:tc>
        <w:tc>
          <w:tcPr>
            <w:tcW w:type="dxa" w:w="216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TikTok</w:t>
            </w:r>
          </w:p>
        </w:tc>
        <w:tc>
          <w:tcPr>
            <w:tcW w:type="dxa" w:w="216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Blended</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Spend</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Installs (non-organic)</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Cost per install</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Trial starts</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Trial-to-paid conversion</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r>
        <w:tc>
          <w:tcPr>
            <w:tcW w:type="dxa" w:w="27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Cost per subscriber</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c>
          <w:tcPr>
            <w:tcW w:type="dxa" w:w="216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 ]</w:t>
            </w:r>
          </w:p>
        </w:tc>
      </w:tr>
    </w:tbl>
    <w:p>
      <w:pPr>
        <w:pStyle w:val="Heading2"/>
        <w:spacing w:after="100" w:before="280"/>
      </w:pPr>
      <w:r>
        <w:rPr>
          <w:rFonts w:ascii="Calibri" w:cs="Calibri" w:eastAsia="Calibri" w:hAnsi="Calibri"/>
          <w:b/>
          <w:bCs/>
          <w:color w:val="000000"/>
          <w:sz w:val="24"/>
          <w:szCs w:val="24"/>
        </w:rPr>
        <w:t xml:space="preserve">Open Items</w:t>
      </w:r>
    </w:p>
    <w:p>
      <w:pPr>
        <w:pStyle w:val="ListParagraph"/>
        <w:numPr>
          <w:ilvl w:val="0"/>
          <w:numId w:val="2"/>
        </w:numPr>
        <w:spacing w:after="60"/>
      </w:pPr>
      <w:r>
        <w:rPr>
          <w:rFonts w:ascii="Calibri" w:cs="Calibri" w:eastAsia="Calibri" w:hAnsi="Calibri"/>
          <w:sz w:val="22"/>
          <w:szCs w:val="22"/>
        </w:rPr>
        <w:t xml:space="preserve">Ship a new App Store build carrying the current SDK configuration</w:t>
      </w:r>
    </w:p>
    <w:p>
      <w:pPr>
        <w:pStyle w:val="ListParagraph"/>
        <w:numPr>
          <w:ilvl w:val="0"/>
          <w:numId w:val="2"/>
        </w:numPr>
        <w:spacing w:after="60"/>
      </w:pPr>
      <w:r>
        <w:rPr>
          <w:rFonts w:ascii="Calibri" w:cs="Calibri" w:eastAsia="Calibri" w:hAnsi="Calibri"/>
          <w:sz w:val="22"/>
          <w:szCs w:val="22"/>
        </w:rPr>
        <w:t xml:space="preserve">Complete SKAdNetwork conversion value mapping in AppsFlyer Conversion Studio</w:t>
      </w:r>
    </w:p>
    <w:p>
      <w:pPr>
        <w:pStyle w:val="ListParagraph"/>
        <w:numPr>
          <w:ilvl w:val="0"/>
          <w:numId w:val="2"/>
        </w:numPr>
        <w:spacing w:after="60"/>
      </w:pPr>
      <w:r>
        <w:rPr>
          <w:rFonts w:ascii="Calibri" w:cs="Calibri" w:eastAsia="Calibri" w:hAnsi="Calibri"/>
          <w:sz w:val="22"/>
          <w:szCs w:val="22"/>
        </w:rPr>
        <w:t xml:space="preserve">Finish App Store screenshots and the landing page (logo, brand colors, demo video)</w:t>
      </w:r>
    </w:p>
    <w:p>
      <w:pPr>
        <w:pStyle w:val="ListParagraph"/>
        <w:numPr>
          <w:ilvl w:val="0"/>
          <w:numId w:val="2"/>
        </w:numPr>
        <w:spacing w:after="60"/>
      </w:pPr>
      <w:r>
        <w:rPr>
          <w:rFonts w:ascii="Calibri" w:cs="Calibri" w:eastAsia="Calibri" w:hAnsi="Calibri"/>
          <w:sz w:val="22"/>
          <w:szCs w:val="22"/>
        </w:rPr>
        <w:t xml:space="preserve">Execute the creator outreach campaign</w:t>
      </w:r>
    </w:p>
    <w:p>
      <w:pPr>
        <w:pStyle w:val="Heading2"/>
        <w:spacing w:after="100" w:before="280"/>
      </w:pPr>
      <w:r>
        <w:rPr>
          <w:rFonts w:ascii="Calibri" w:cs="Calibri" w:eastAsia="Calibri" w:hAnsi="Calibri"/>
          <w:b/>
          <w:bCs/>
          <w:color w:val="000000"/>
          <w:sz w:val="24"/>
          <w:szCs w:val="24"/>
        </w:rPr>
        <w:t xml:space="preserve">How This Demonstrates the Skill</w:t>
      </w:r>
    </w:p>
    <w:p>
      <w:pPr>
        <w:spacing w:after="120"/>
      </w:pPr>
      <w:r>
        <w:rPr>
          <w:rFonts w:ascii="Calibri" w:cs="Calibri" w:eastAsia="Calibri" w:hAnsi="Calibri"/>
          <w:b w:val="false"/>
          <w:bCs w:val="false"/>
          <w:i w:val="false"/>
          <w:iCs w:val="false"/>
          <w:color w:val="000000"/>
          <w:sz w:val="22"/>
          <w:szCs w:val="22"/>
        </w:rPr>
        <w:t xml:space="preserve">Running acquisition for a product I also built means every decision is mine: which MMP, which trial length, which events to optimize toward, and what to do when a vendor integration silently fails. Diagnosing the Superwall attribution gap and routing around it through the Purchase Connector is the part I am most willing to be asked about — it was not in any documentation, and getting it wrong would have meant spending real money against numbers that were quietly incorrect.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2026-08-22T03:02:20.331Z</dcterms:created>
  <dcterms:modified xsi:type="dcterms:W3CDTF">2026-08-22T03:02:20.331Z</dcterms:modified>
</cp:coreProperties>
</file>

<file path=docProps/custom.xml><?xml version="1.0" encoding="utf-8"?>
<Properties xmlns="http://schemas.openxmlformats.org/officeDocument/2006/custom-properties" xmlns:vt="http://schemas.openxmlformats.org/officeDocument/2006/docPropsVTypes"/>
</file>