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0000"/>
          <w:sz w:val="32"/>
          <w:szCs w:val="32"/>
        </w:rPr>
        <w:t xml:space="preserve">Thrive — Creator Outreach Campaign</w:t>
      </w:r>
    </w:p>
    <w:p>
      <w:pPr>
        <w:pBdr>
          <w:bottom w:val="single" w:color="BFBFBF" w:sz="6" w:space="6"/>
        </w:pBdr>
        <w:spacing w:after="2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Everett Bostwick  |  Portfolio Artifact  |  Skill 3: Stakeholder Communication</w:t>
      </w:r>
    </w:p>
    <w:p>
      <w:pPr>
        <w:pBdr>
          <w:left w:val="single" w:color="C00000" w:sz="12" w:space="8"/>
        </w:pBdr>
        <w:spacing w:after="120" w:before="200"/>
        <w:ind w:left="160"/>
      </w:pPr>
      <w:r>
        <w:rPr>
          <w:rFonts w:ascii="Calibri" w:cs="Calibri" w:eastAsia="Calibri" w:hAnsi="Calibri"/>
          <w:i/>
          <w:iCs/>
          <w:color w:val="7F1010"/>
          <w:sz w:val="19"/>
          <w:szCs w:val="19"/>
        </w:rPr>
        <w:t xml:space="preserve">Creator contact details have been intentionally removed from this version. Keep it that way — publishing someone’s direct email on a public portfolio site is the kind of thing that gets a campaign killed.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Objective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Reach the audiences most likely to need Thrive through creators they already trust, rather than through cold advertising alone. Screen-time and wellness content performs well organically, so a creator post can do work that a paid ad cannot: it arrives as a recommendation instead of an interruption.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Targeting Approach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Rather than chasing follower counts, I selected creators whose existing content already touches the problem Thrive solves — phone dependency, daily wellness routines, mental health habits, and medication adherence. Fit matters more than reach at this stage, because a mismatched audience produces installs that churn immediately and pollute the attribution data.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Target Audience Segments</w:t>
      </w:r>
    </w:p>
    <w:tbl>
      <w:tblPr>
        <w:tblW w:type="dxa" w:w="91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480"/>
      </w:tblGrid>
      <w:tr>
        <w:trPr>
          <w:tblHeader/>
        </w:trPr>
        <w:tc>
          <w:tcPr>
            <w:tcW w:type="dxa" w:w="270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Segment</w:t>
            </w:r>
          </w:p>
        </w:tc>
        <w:tc>
          <w:tcPr>
            <w:tcW w:type="dxa" w:w="648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Why they fit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Young adults, 18–30</w:t>
            </w:r>
          </w:p>
        </w:tc>
        <w:tc>
          <w:tcPr>
            <w:tcW w:type="dxa" w:w="64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Highest screen-time awareness and the most active discomfort with it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Adults, 40–65</w:t>
            </w:r>
          </w:p>
        </w:tc>
        <w:tc>
          <w:tcPr>
            <w:tcW w:type="dxa" w:w="64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Motivated by daily wellness logging — hydration, movement, consistency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 injection / medication users</w:t>
            </w:r>
          </w:p>
        </w:tc>
        <w:tc>
          <w:tcPr>
            <w:tcW w:type="dxa" w:w="64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Adherence is a real, recurring task that the app can meaningfully anchor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Creator Shortlist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Five creators selected for the first wave, spanning the three segments. Contact routes are noted by type only.</w:t>
      </w:r>
    </w:p>
    <w:tbl>
      <w:tblPr>
        <w:tblW w:type="dxa" w:w="91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780"/>
        <w:gridCol w:w="2700"/>
      </w:tblGrid>
      <w:tr>
        <w:trPr>
          <w:tblHeader/>
        </w:trPr>
        <w:tc>
          <w:tcPr>
            <w:tcW w:type="dxa" w:w="270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Creator</w:t>
            </w:r>
          </w:p>
        </w:tc>
        <w:tc>
          <w:tcPr>
            <w:tcW w:type="dxa" w:w="378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Segment fit</w:t>
            </w:r>
          </w:p>
        </w:tc>
        <w:tc>
          <w:tcPr>
            <w:tcW w:type="dxa" w:w="2700"/>
            <w:shd w:fill="DE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route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@theallenye</w:t>
            </w:r>
          </w:p>
        </w:tc>
        <w:tc>
          <w:tcPr>
            <w:tcW w:type="dxa" w:w="37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Young adults / screen time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Direct email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@lindsay.fleminglpc</w:t>
            </w:r>
          </w:p>
        </w:tc>
        <w:tc>
          <w:tcPr>
            <w:tcW w:type="dxa" w:w="37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Mental health and wellness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Link-in-bio contact page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@dmfkimonmounjaro</w:t>
            </w:r>
          </w:p>
        </w:tc>
        <w:tc>
          <w:tcPr>
            <w:tcW w:type="dxa" w:w="37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Medication adherence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Platform DM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@tamsenfadal</w:t>
            </w:r>
          </w:p>
        </w:tc>
        <w:tc>
          <w:tcPr>
            <w:tcW w:type="dxa" w:w="37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Adults 40–65, wellness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Talent representation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@excusemygrandma</w:t>
            </w:r>
          </w:p>
        </w:tc>
        <w:tc>
          <w:tcPr>
            <w:tcW w:type="dxa" w:w="37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Cross-generational wellness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email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The Offer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Free lifetime subscription</w:t>
      </w:r>
      <w:r>
        <w:rPr>
          <w:rFonts w:ascii="Calibri" w:cs="Calibri" w:eastAsia="Calibri" w:hAnsi="Calibri"/>
          <w:sz w:val="22"/>
          <w:szCs w:val="22"/>
        </w:rPr>
        <w:t xml:space="preserve"> — so the creator can actually use the product before deciding whether to speak about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Paid post</w:t>
      </w:r>
      <w:r>
        <w:rPr>
          <w:rFonts w:ascii="Calibri" w:cs="Calibri" w:eastAsia="Calibri" w:hAnsi="Calibri"/>
          <w:sz w:val="22"/>
          <w:szCs w:val="22"/>
        </w:rPr>
        <w:t xml:space="preserve"> — compensation for a post if they like it — this is not a hope-for-free-exposure ask.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No script</w:t>
      </w:r>
      <w:r>
        <w:rPr>
          <w:rFonts w:ascii="Calibri" w:cs="Calibri" w:eastAsia="Calibri" w:hAnsi="Calibri"/>
          <w:sz w:val="22"/>
          <w:szCs w:val="22"/>
        </w:rPr>
        <w:t xml:space="preserve"> — creators keep editorial control. Scripted brand copy reads as scripted brand copy, and it underperforms in this category.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Outreach Message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message is deliberately short and written the way I actually talk. Creators receive a high volume of formal brand pitches; a plain message from the person who built the thing stands out precisely because it does not sound like an agency wrote it.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2"/>
          <w:szCs w:val="22"/>
        </w:rPr>
        <w:t xml:space="preserve">“Hey [name]! I built an app called Thrive — it blocks your phone apps until you complete your health tasks for the day (water, workouts, meds, meals). Just launched on the App Store. Your content feels like a perfect fit, and I’d love to send you a free lifetime sub + pay you to post about it if you like it. No crazy scripts, just honest content. Interested?”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Measurement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Creator posts tracked against install and trial-start lift through AppsFlyer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Separate creative concepts reserved for paid channels so organic creator lift is not confounded with ad spend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Response rate and conversion-to-post tracked per outreach route to inform the second wave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How This Demonstrates the Skill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This is stakeholder communication with people who owe me nothing. Every element — the offer structure, the tone, the decision to hand over editorial control — is a judgment call about what a specific audience will respond to. Writing to a creator, an investor, and a tournament director all require the same underlying skill: figure out what the other party actually cares about, then say the true thing in the way they can hear it.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9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2026-08-22T03:02:20.421Z</dcterms:created>
  <dcterms:modified xsi:type="dcterms:W3CDTF">2026-08-22T03:02:20.421Z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