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000000"/>
          <w:sz w:val="32"/>
          <w:szCs w:val="32"/>
        </w:rPr>
        <w:t xml:space="preserve">Thrive — Stakeholder Update Memo</w:t>
      </w:r>
    </w:p>
    <w:p>
      <w:pPr>
        <w:pBdr>
          <w:bottom w:val="single" w:color="BFBFBF" w:sz="6" w:space="6"/>
        </w:pBdr>
        <w:spacing w:after="24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Everett Bostwick  |  Portfolio Artifact  |  Skill 3: Independent Business Operations &amp; Stakeholder Communication</w:t>
      </w:r>
    </w:p>
    <w:p>
      <w:pPr>
        <w:pBdr>
          <w:left w:val="single" w:color="C00000" w:sz="12" w:space="8"/>
        </w:pBdr>
        <w:spacing w:after="120" w:before="200"/>
        <w:ind w:left="160"/>
      </w:pPr>
      <w:r>
        <w:rPr>
          <w:rFonts w:ascii="Calibri" w:cs="Calibri" w:eastAsia="Calibri" w:hAnsi="Calibri"/>
          <w:i/>
          <w:iCs/>
          <w:color w:val="7F1010"/>
          <w:sz w:val="19"/>
          <w:szCs w:val="19"/>
        </w:rPr>
        <w:t xml:space="preserve">This is a sanitized template built from the real structure of my updates. Fill in the bracketed figures with verified numbers and set the date before uploading. Investor name intentionally omitted.</w:t>
      </w:r>
    </w:p>
    <w:tbl>
      <w:tblPr>
        <w:tblW w:type="dxa" w:w="91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7380"/>
      </w:tblGrid>
      <w:tr>
        <w:trPr>
          <w:tblHeader/>
        </w:trPr>
        <w:tc>
          <w:tcPr>
            <w:tcW w:type="dxa" w:w="1800"/>
            <w:shd w:fill="DEE6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Field</w:t>
            </w:r>
          </w:p>
        </w:tc>
        <w:tc>
          <w:tcPr>
            <w:tcW w:type="dxa" w:w="7380"/>
            <w:shd w:fill="DEE6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Detail</w:t>
            </w:r>
          </w:p>
        </w:tc>
      </w:tr>
      <w:tr>
        <w:tc>
          <w:tcPr>
            <w:tcW w:type="dxa" w:w="1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</w:t>
            </w:r>
          </w:p>
        </w:tc>
        <w:tc>
          <w:tcPr>
            <w:tcW w:type="dxa" w:w="738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Thrive Investor</w:t>
            </w:r>
          </w:p>
        </w:tc>
      </w:tr>
      <w:tr>
        <w:tc>
          <w:tcPr>
            <w:tcW w:type="dxa" w:w="1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From</w:t>
            </w:r>
          </w:p>
        </w:tc>
        <w:tc>
          <w:tcPr>
            <w:tcW w:type="dxa" w:w="738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Everett Bostwick, Founder &amp; Developer</w:t>
            </w:r>
          </w:p>
        </w:tc>
      </w:tr>
      <w:tr>
        <w:tc>
          <w:tcPr>
            <w:tcW w:type="dxa" w:w="1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Date</w:t>
            </w:r>
          </w:p>
        </w:tc>
        <w:tc>
          <w:tcPr>
            <w:tcW w:type="dxa" w:w="738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[Month] [Day], [Year]</w:t>
            </w:r>
          </w:p>
        </w:tc>
      </w:tr>
      <w:tr>
        <w:tc>
          <w:tcPr>
            <w:tcW w:type="dxa" w:w="1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Subject</w:t>
            </w:r>
          </w:p>
        </w:tc>
        <w:tc>
          <w:tcPr>
            <w:tcW w:type="dxa" w:w="738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 update — product, acquisition, and next 30 days</w:t>
            </w:r>
          </w:p>
        </w:tc>
      </w:tr>
    </w:tbl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color w:val="000000"/>
          <w:sz w:val="24"/>
          <w:szCs w:val="24"/>
        </w:rPr>
        <w:t xml:space="preserve">Summary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2"/>
          <w:szCs w:val="22"/>
        </w:rPr>
        <w:t xml:space="preserve">Product is live and stable. The focus this period shifted from building features to making acquisition measurable — the attribution stack is now functioning end to end after working around a broken vendor integration. Spend is [scaling / holding] while conversion value mapping is finished, after which I expect to open up budget on the better-performing channel.</w:t>
      </w:r>
    </w:p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color w:val="000000"/>
          <w:sz w:val="24"/>
          <w:szCs w:val="24"/>
        </w:rPr>
        <w:t xml:space="preserve">Product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Shipped: [list what went out this period]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In review / pending release: [build status]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Known technical debt: friend codes are stored locally rather than synced; migration planned but not blocking growth</w:t>
      </w:r>
    </w:p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color w:val="000000"/>
          <w:sz w:val="24"/>
          <w:szCs w:val="24"/>
        </w:rPr>
        <w:t xml:space="preserve">Acquisition and Measurement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Attribution</w:t>
      </w:r>
      <w:r>
        <w:rPr>
          <w:rFonts w:ascii="Calibri" w:cs="Calibri" w:eastAsia="Calibri" w:hAnsi="Calibri"/>
          <w:sz w:val="22"/>
          <w:szCs w:val="22"/>
        </w:rPr>
        <w:t xml:space="preserve"> — AppsFlyer integrated and reporting. Superwall’s native AppsFlyer integration was non-functional, so purchase events now route through AppsFlyer’s Purchase Connector. Revenue attribution is intact.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Channels</w:t>
      </w:r>
      <w:r>
        <w:rPr>
          <w:rFonts w:ascii="Calibri" w:cs="Calibri" w:eastAsia="Calibri" w:hAnsi="Calibri"/>
          <w:sz w:val="22"/>
          <w:szCs w:val="22"/>
        </w:rPr>
        <w:t xml:space="preserve"> — Meta and TikTok both live, with af_purchase, af_start_trial, af_subscribe, and onboarding_completed mapped to each.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SKAdNetwork</w:t>
      </w:r>
      <w:r>
        <w:rPr>
          <w:rFonts w:ascii="Calibri" w:cs="Calibri" w:eastAsia="Calibri" w:hAnsi="Calibri"/>
          <w:sz w:val="22"/>
          <w:szCs w:val="22"/>
        </w:rPr>
        <w:t xml:space="preserve"> — conversion value mapping in progress in Conversion Studio. Until it is complete, post-install value on iOS is partially blind and I am treating channel comparisons as directional rather than final.</w:t>
      </w:r>
    </w:p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color w:val="000000"/>
          <w:sz w:val="24"/>
          <w:szCs w:val="24"/>
        </w:rPr>
        <w:t xml:space="preserve">Key Numbers</w:t>
      </w:r>
    </w:p>
    <w:tbl>
      <w:tblPr>
        <w:tblW w:type="dxa" w:w="91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2160"/>
        <w:gridCol w:w="2160"/>
        <w:gridCol w:w="2160"/>
      </w:tblGrid>
      <w:tr>
        <w:trPr>
          <w:tblHeader/>
        </w:trPr>
        <w:tc>
          <w:tcPr>
            <w:tcW w:type="dxa" w:w="2700"/>
            <w:shd w:fill="DEE6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Metric</w:t>
            </w:r>
          </w:p>
        </w:tc>
        <w:tc>
          <w:tcPr>
            <w:tcW w:type="dxa" w:w="2160"/>
            <w:shd w:fill="DEE6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This period</w:t>
            </w:r>
          </w:p>
        </w:tc>
        <w:tc>
          <w:tcPr>
            <w:tcW w:type="dxa" w:w="2160"/>
            <w:shd w:fill="DEE6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Prior period</w:t>
            </w:r>
          </w:p>
        </w:tc>
        <w:tc>
          <w:tcPr>
            <w:tcW w:type="dxa" w:w="2160"/>
            <w:shd w:fill="DEE6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Change</w:t>
            </w:r>
          </w:p>
        </w:tc>
      </w:tr>
      <w:tr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Installs</w:t>
            </w:r>
          </w:p>
        </w:tc>
        <w:tc>
          <w:tcPr>
            <w:tcW w:type="dxa" w:w="21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 ]</w:t>
            </w:r>
          </w:p>
        </w:tc>
        <w:tc>
          <w:tcPr>
            <w:tcW w:type="dxa" w:w="21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 ]</w:t>
            </w:r>
          </w:p>
        </w:tc>
        <w:tc>
          <w:tcPr>
            <w:tcW w:type="dxa" w:w="21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Trial starts</w:t>
            </w:r>
          </w:p>
        </w:tc>
        <w:tc>
          <w:tcPr>
            <w:tcW w:type="dxa" w:w="21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 ]</w:t>
            </w:r>
          </w:p>
        </w:tc>
        <w:tc>
          <w:tcPr>
            <w:tcW w:type="dxa" w:w="21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 ]</w:t>
            </w:r>
          </w:p>
        </w:tc>
        <w:tc>
          <w:tcPr>
            <w:tcW w:type="dxa" w:w="21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Paid subscribers</w:t>
            </w:r>
          </w:p>
        </w:tc>
        <w:tc>
          <w:tcPr>
            <w:tcW w:type="dxa" w:w="21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 ]</w:t>
            </w:r>
          </w:p>
        </w:tc>
        <w:tc>
          <w:tcPr>
            <w:tcW w:type="dxa" w:w="21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 ]</w:t>
            </w:r>
          </w:p>
        </w:tc>
        <w:tc>
          <w:tcPr>
            <w:tcW w:type="dxa" w:w="21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Ad spend</w:t>
            </w:r>
          </w:p>
        </w:tc>
        <w:tc>
          <w:tcPr>
            <w:tcW w:type="dxa" w:w="21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 ]</w:t>
            </w:r>
          </w:p>
        </w:tc>
        <w:tc>
          <w:tcPr>
            <w:tcW w:type="dxa" w:w="21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 ]</w:t>
            </w:r>
          </w:p>
        </w:tc>
        <w:tc>
          <w:tcPr>
            <w:tcW w:type="dxa" w:w="21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Cost per subscriber</w:t>
            </w:r>
          </w:p>
        </w:tc>
        <w:tc>
          <w:tcPr>
            <w:tcW w:type="dxa" w:w="21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 ]</w:t>
            </w:r>
          </w:p>
        </w:tc>
        <w:tc>
          <w:tcPr>
            <w:tcW w:type="dxa" w:w="21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 ]</w:t>
            </w:r>
          </w:p>
        </w:tc>
        <w:tc>
          <w:tcPr>
            <w:tcW w:type="dxa" w:w="21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 ]</w:t>
            </w:r>
          </w:p>
        </w:tc>
      </w:tr>
    </w:tbl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color w:val="000000"/>
          <w:sz w:val="24"/>
          <w:szCs w:val="24"/>
        </w:rPr>
        <w:t xml:space="preserve">Risks and Open Questions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Measurement lag</w:t>
      </w:r>
      <w:r>
        <w:rPr>
          <w:rFonts w:ascii="Calibri" w:cs="Calibri" w:eastAsia="Calibri" w:hAnsi="Calibri"/>
          <w:sz w:val="22"/>
          <w:szCs w:val="22"/>
        </w:rPr>
        <w:t xml:space="preserve"> — SKAdNetwork reporting delays mean spend decisions run ahead of confirmed data. Mitigation is to hold budget flat on any channel until its conversion values are mapped.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Single-developer dependency</w:t>
      </w:r>
      <w:r>
        <w:rPr>
          <w:rFonts w:ascii="Calibri" w:cs="Calibri" w:eastAsia="Calibri" w:hAnsi="Calibri"/>
          <w:sz w:val="22"/>
          <w:szCs w:val="22"/>
        </w:rPr>
        <w:t xml:space="preserve"> — I am the only engineer. This keeps burn low and velocity high, but it is a concentration risk worth naming rather than hiding.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Creative fatigue</w:t>
      </w:r>
      <w:r>
        <w:rPr>
          <w:rFonts w:ascii="Calibri" w:cs="Calibri" w:eastAsia="Calibri" w:hAnsi="Calibri"/>
          <w:sz w:val="22"/>
          <w:szCs w:val="22"/>
        </w:rPr>
        <w:t xml:space="preserve"> — a small concept library will exhaust itself quickly at higher spend; the creator campaign is partly a hedge against needing fresh creative faster than I can produce it.</w:t>
      </w:r>
    </w:p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color w:val="000000"/>
          <w:sz w:val="24"/>
          <w:szCs w:val="24"/>
        </w:rPr>
        <w:t xml:space="preserve">Next 30 Days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Ship the pending App Store build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Complete SKAdNetwork conversion value mapping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Finish App Store screenshots, landing page, and demo video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Launch the first creator outreach wave and measure lift</w:t>
      </w:r>
    </w:p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color w:val="000000"/>
          <w:sz w:val="24"/>
          <w:szCs w:val="24"/>
        </w:rPr>
        <w:t xml:space="preserve">Asks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2"/>
          <w:szCs w:val="22"/>
        </w:rPr>
        <w:t xml:space="preserve">[Specific ask, or “Nothing this period — will flag before any material change in spend.”]</w:t>
      </w:r>
    </w:p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color w:val="000000"/>
          <w:sz w:val="24"/>
          <w:szCs w:val="24"/>
        </w:rPr>
        <w:t xml:space="preserve">How This Demonstrates the Skill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2"/>
          <w:szCs w:val="22"/>
        </w:rPr>
        <w:t xml:space="preserve">Reporting to an outside investor while being the entire company means writing updates that are useful rather than flattering. I include the things that went wrong — the broken vendor integration, the measurement blind spot, the fact that I am a single point of failure — because an investor who finds out later trusts you less than one who heard it first. That instinct is the actual skill; the formatting is just the container.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</w:lvl>
    <w:lvl w:ilvl="1" w15:tentative="1">
      <w:start w:val="1"/>
      <w:numFmt w:val="bullet"/>
      <w:lvlText w:val="◦"/>
      <w:lvlJc w:val="left"/>
      <w:pPr>
        <w:ind w:left="92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2026-08-22T03:02:20.449Z</dcterms:created>
  <dcterms:modified xsi:type="dcterms:W3CDTF">2026-08-22T03:02:20.449Z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