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B374" w14:textId="6644E62B" w:rsidR="005A4F79" w:rsidRDefault="00351F4D">
      <w:r>
        <w:rPr>
          <w:noProof/>
        </w:rPr>
        <w:drawing>
          <wp:anchor distT="0" distB="0" distL="114300" distR="114300" simplePos="0" relativeHeight="251658240" behindDoc="1" locked="0" layoutInCell="1" allowOverlap="1" wp14:anchorId="37F95615" wp14:editId="794E8E43">
            <wp:simplePos x="0" y="0"/>
            <wp:positionH relativeFrom="column">
              <wp:posOffset>771525</wp:posOffset>
            </wp:positionH>
            <wp:positionV relativeFrom="paragraph">
              <wp:posOffset>3200400</wp:posOffset>
            </wp:positionV>
            <wp:extent cx="4459605" cy="4465955"/>
            <wp:effectExtent l="0" t="0" r="0" b="0"/>
            <wp:wrapTight wrapText="bothSides">
              <wp:wrapPolygon edited="0">
                <wp:start x="0" y="0"/>
                <wp:lineTo x="0" y="21468"/>
                <wp:lineTo x="21499" y="21468"/>
                <wp:lineTo x="21499" y="0"/>
                <wp:lineTo x="0" y="0"/>
              </wp:wrapPolygon>
            </wp:wrapTight>
            <wp:docPr id="13612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4109" name="Picture 1361241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F4D">
        <w:t xml:space="preserve">This </w:t>
      </w:r>
      <w:r>
        <w:t xml:space="preserve">drawing </w:t>
      </w:r>
      <w:r w:rsidRPr="00351F4D">
        <w:t>illustrates the membrane</w:t>
      </w:r>
      <w:r w:rsidRPr="00351F4D">
        <w:noBreakHyphen/>
        <w:t>bound human IgM B</w:t>
      </w:r>
      <w:r w:rsidRPr="00351F4D">
        <w:noBreakHyphen/>
        <w:t>cell receptor as resolved by recent cryo</w:t>
      </w:r>
      <w:r w:rsidRPr="00351F4D">
        <w:noBreakHyphen/>
        <w:t>EM analysis, highlighting its organization into two antigen</w:t>
      </w:r>
      <w:r w:rsidRPr="00351F4D">
        <w:noBreakHyphen/>
        <w:t>binding Fab arms containing the VH and VL variable domains and their associated constant domains (CH1/CL). The Fc portion is shown with the extended CH2–CH3–CH4 constant domains, each bearing multiple N</w:t>
      </w:r>
      <w:r w:rsidRPr="00351F4D">
        <w:noBreakHyphen/>
        <w:t>linked glycosylation sites characteristic of membrane IgM. Unlike soluble pentameric IgM, which assembles into a five</w:t>
      </w:r>
      <w:r w:rsidRPr="00351F4D">
        <w:noBreakHyphen/>
        <w:t>unit star</w:t>
      </w:r>
      <w:r w:rsidRPr="00351F4D">
        <w:noBreakHyphen/>
        <w:t>shaped complex with a J</w:t>
      </w:r>
      <w:r w:rsidRPr="00351F4D">
        <w:noBreakHyphen/>
        <w:t>chain and is secreted, the membrane IgM BCR exists as a single IgM monomer anchored in the plasma membrane through paired heavy</w:t>
      </w:r>
      <w:r w:rsidRPr="00351F4D">
        <w:noBreakHyphen/>
        <w:t>chain transmembrane helices. The diagram also includes the Igα/Igβ heterodimer positioned adjacent to the IgM transmembrane region, emphasizing their ITAM</w:t>
      </w:r>
      <w:r w:rsidRPr="00351F4D">
        <w:noBreakHyphen/>
        <w:t xml:space="preserve">containing cytoplasmic tails that mediate intracellular signaling upon antigen engagement. Overall, </w:t>
      </w:r>
      <w:r>
        <w:t xml:space="preserve">this drawing </w:t>
      </w:r>
      <w:r w:rsidRPr="00351F4D">
        <w:t>distinguishes the structural simplicity and membrane</w:t>
      </w:r>
      <w:r w:rsidRPr="00351F4D">
        <w:noBreakHyphen/>
        <w:t>anchored architecture of the IgM BCR from the multimeric, secreted form of pentameric IgM.</w:t>
      </w:r>
    </w:p>
    <w:sectPr w:rsidR="005A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4D"/>
    <w:rsid w:val="002550C2"/>
    <w:rsid w:val="003434E7"/>
    <w:rsid w:val="00351F4D"/>
    <w:rsid w:val="005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EDCD"/>
  <w15:chartTrackingRefBased/>
  <w15:docId w15:val="{E23C6252-7EEC-4CEE-86B4-781D581D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Neider</dc:creator>
  <cp:keywords/>
  <dc:description/>
  <cp:lastModifiedBy>Hayden Neider</cp:lastModifiedBy>
  <cp:revision>1</cp:revision>
  <dcterms:created xsi:type="dcterms:W3CDTF">2026-02-15T18:56:00Z</dcterms:created>
  <dcterms:modified xsi:type="dcterms:W3CDTF">2026-02-15T19:02:00Z</dcterms:modified>
</cp:coreProperties>
</file>