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C2B0F" w14:textId="289F2345" w:rsidR="008A52B6" w:rsidRPr="008A52B6" w:rsidRDefault="008A52B6" w:rsidP="008A52B6">
      <w:r w:rsidRPr="008A52B6">
        <w:t>Drug, Condition, Antibody Class, and Structure</w:t>
      </w:r>
    </w:p>
    <w:p w14:paraId="4A0C9E5D" w14:textId="77777777" w:rsidR="008A52B6" w:rsidRDefault="008A52B6" w:rsidP="008A52B6">
      <w:r w:rsidRPr="008A52B6">
        <w:t xml:space="preserve">A widely used monoclonal antibody drug is adalimumab, commercially known as </w:t>
      </w:r>
      <w:r w:rsidRPr="008A52B6">
        <w:rPr>
          <w:i/>
          <w:iCs/>
        </w:rPr>
        <w:t>Humira</w:t>
      </w:r>
      <w:r w:rsidRPr="008A52B6">
        <w:t xml:space="preserve">, which is classified as a fully human monoclonal antibody ending in the </w:t>
      </w:r>
      <w:r w:rsidRPr="008A52B6">
        <w:noBreakHyphen/>
        <w:t>mab suffix. Adalimumab is prescribed for a broad range of autoimmune and chronic inflammatory disorders, including rheumatoid arthritis, Crohn’s disease, ulcerative colitis, plaque psoriasis, hidradenitis suppurativa, ankylosing spondylitis, and juvenile idiopathic arthritis. These conditions share a common pathophysiological theme: dysregulated immune activation that leads to persistent inflammation and progressive tissue damage. Adalimumab belongs to the IgG1 subclass, the most abundant immunoglobulin in human serum and the primary mediator of long</w:t>
      </w:r>
      <w:r w:rsidRPr="008A52B6">
        <w:noBreakHyphen/>
        <w:t>term adaptive immunity. IgG1 antibodies have the classic Y</w:t>
      </w:r>
      <w:r w:rsidRPr="008A52B6">
        <w:noBreakHyphen/>
        <w:t>shaped quaternary structure, composed of two identical heavy chains and two identical light chains linked by disulfide bonds. The upper arms of the Y contain the Fab (fragment antigen</w:t>
      </w:r>
      <w:r w:rsidRPr="008A52B6">
        <w:noBreakHyphen/>
        <w:t>binding) regions, which include variable domains responsible for recognizing and binding specific antigens. The lower stem forms the Fc (fragment crystallizable) region, which interacts with Fc receptors on immune cells and can activate complement pathways. The hinge region between Fab and Fc provides flexibility, allowing the antibody to adjust its binding angle to engage antigens effectively. As a fully human IgG1 monoclonal antibody, adalimumab minimizes immunogenicity, reducing the likelihood of anti</w:t>
      </w:r>
      <w:r w:rsidRPr="008A52B6">
        <w:noBreakHyphen/>
        <w:t>drug antibody formation and enabling long</w:t>
      </w:r>
      <w:r w:rsidRPr="008A52B6">
        <w:noBreakHyphen/>
        <w:t>term therapeutic use. Its structural design allows it to circulate systemically, bind its target with high affinity, and modulate immune responses in a controlled and predictable manner.</w:t>
      </w:r>
    </w:p>
    <w:p w14:paraId="510C2DBA" w14:textId="77777777" w:rsidR="008A52B6" w:rsidRPr="008A52B6" w:rsidRDefault="008A52B6" w:rsidP="008A52B6"/>
    <w:p w14:paraId="5F06D1D4" w14:textId="486FCB8A" w:rsidR="008A52B6" w:rsidRPr="008A52B6" w:rsidRDefault="008A52B6" w:rsidP="008A52B6">
      <w:r w:rsidRPr="008A52B6">
        <w:t>Target and Mechanism of Action</w:t>
      </w:r>
    </w:p>
    <w:p w14:paraId="23AC8DE1" w14:textId="5B43224B" w:rsidR="008A52B6" w:rsidRPr="008A52B6" w:rsidRDefault="008A52B6" w:rsidP="008A52B6">
      <w:r w:rsidRPr="008A52B6">
        <w:t>Adalimumab’s therapeutic effect arises from its high</w:t>
      </w:r>
      <w:r w:rsidRPr="008A52B6">
        <w:noBreakHyphen/>
        <w:t>affinity binding to tumor necrosis factor</w:t>
      </w:r>
      <w:r w:rsidRPr="008A52B6">
        <w:noBreakHyphen/>
        <w:t>alpha (TNF</w:t>
      </w:r>
      <w:r w:rsidRPr="008A52B6">
        <w:noBreakHyphen/>
        <w:t>α), a central cytokine in the inflammatory cascade of many autoimmune diseases. TNF</w:t>
      </w:r>
      <w:r w:rsidRPr="008A52B6">
        <w:noBreakHyphen/>
        <w:t>α is produced primarily by activated macrophages and T lymphocytes, and it functions as a master regulator of inflammation by promoting cytokine release, endothelial activation, leukocyte recruitment, and tissue</w:t>
      </w:r>
      <w:r w:rsidRPr="008A52B6">
        <w:noBreakHyphen/>
        <w:t>destructive enzyme production. In autoimmune disorders, TNF</w:t>
      </w:r>
      <w:r w:rsidRPr="008A52B6">
        <w:noBreakHyphen/>
        <w:t>α levels remain chronically elevated, driving persistent inflammation that damages joints, intestinal mucosa, skin, and other tissues. Adalimumab binds both soluble and membrane</w:t>
      </w:r>
      <w:r w:rsidRPr="008A52B6">
        <w:noBreakHyphen/>
        <w:t>bound TNF</w:t>
      </w:r>
      <w:r w:rsidRPr="008A52B6">
        <w:noBreakHyphen/>
        <w:t>α, preventing it from interacting with its receptors, TNFR1 and TNFR2, on target cells. This blockade interrupts downstream signaling pathways such as NF</w:t>
      </w:r>
      <w:r w:rsidRPr="008A52B6">
        <w:noBreakHyphen/>
      </w:r>
      <w:proofErr w:type="spellStart"/>
      <w:r w:rsidRPr="008A52B6">
        <w:t>κB</w:t>
      </w:r>
      <w:proofErr w:type="spellEnd"/>
      <w:r w:rsidRPr="008A52B6">
        <w:t xml:space="preserve"> and MAPK, which are responsible for amplifying inflammatory gene expression. By neutralizing TNF</w:t>
      </w:r>
      <w:r w:rsidRPr="008A52B6">
        <w:noBreakHyphen/>
        <w:t>α, adalimumab reduces the production of additional pro</w:t>
      </w:r>
      <w:r w:rsidRPr="008A52B6">
        <w:noBreakHyphen/>
        <w:t>inflammatory cytokines (IL</w:t>
      </w:r>
      <w:r w:rsidRPr="008A52B6">
        <w:noBreakHyphen/>
        <w:t>1, IL</w:t>
      </w:r>
      <w:r w:rsidRPr="008A52B6">
        <w:noBreakHyphen/>
        <w:t xml:space="preserve">6), decreases leukocyte migration into tissues, and limits ongoing tissue destruction. In conditions like rheumatoid arthritis, this </w:t>
      </w:r>
      <w:r w:rsidRPr="008A52B6">
        <w:lastRenderedPageBreak/>
        <w:t>results in reduced synovial inflammation, decreased joint erosion, and improved mobility. In Crohn’s disease and ulcerative colitis, TNF</w:t>
      </w:r>
      <w:r w:rsidRPr="008A52B6">
        <w:noBreakHyphen/>
        <w:t xml:space="preserve">α inhibition promotes mucosal healing and reduces abdominal pain, diarrhea, and systemic symptoms. Although adalimumab’s Fc region </w:t>
      </w:r>
      <w:proofErr w:type="gramStart"/>
      <w:r w:rsidRPr="008A52B6">
        <w:t>is capable of engaging</w:t>
      </w:r>
      <w:proofErr w:type="gramEnd"/>
      <w:r w:rsidRPr="008A52B6">
        <w:t xml:space="preserve"> immune effector functions, its primary therapeutic mechanism is cytokine neutralization rather than cytotoxicity. By restoring balance to dysregulated immune pathways, adalimumab provides sustained symptom relief, slows disease progression, and improves quality of life across multiple autoimmune conditions.</w:t>
      </w:r>
    </w:p>
    <w:p w14:paraId="7BB38BD9" w14:textId="77777777" w:rsidR="008A52B6" w:rsidRPr="008A52B6" w:rsidRDefault="008A52B6" w:rsidP="008A52B6"/>
    <w:p w14:paraId="22290BFA" w14:textId="589C0AA3" w:rsidR="008A52B6" w:rsidRPr="008A52B6" w:rsidRDefault="008A52B6" w:rsidP="008A52B6">
      <w:r w:rsidRPr="008A52B6">
        <w:t>References</w:t>
      </w:r>
    </w:p>
    <w:p w14:paraId="1BBD3AAF" w14:textId="541BC560" w:rsidR="008A52B6" w:rsidRPr="008A52B6" w:rsidRDefault="008A52B6" w:rsidP="008A52B6">
      <w:r w:rsidRPr="008A52B6">
        <w:t xml:space="preserve">Cleveland Clinic. (2025). </w:t>
      </w:r>
      <w:r w:rsidRPr="008A52B6">
        <w:rPr>
          <w:i/>
          <w:iCs/>
        </w:rPr>
        <w:t>Monoclonal antibodies: Purpose, risks &amp; results</w:t>
      </w:r>
      <w:r w:rsidRPr="008A52B6">
        <w:t>. https://my.clevelandclinic.org/health/treatments/22624-monoclonal-antibodies</w:t>
      </w:r>
    </w:p>
    <w:p w14:paraId="4580FC47" w14:textId="77777777" w:rsidR="008A52B6" w:rsidRPr="008A52B6" w:rsidRDefault="008A52B6" w:rsidP="008A52B6">
      <w:r w:rsidRPr="008A52B6">
        <w:t xml:space="preserve">U.S. Food and Drug Administration. (2024). </w:t>
      </w:r>
      <w:r w:rsidRPr="008A52B6">
        <w:rPr>
          <w:i/>
          <w:iCs/>
        </w:rPr>
        <w:t>Humira (adalimumab) prescribing information</w:t>
      </w:r>
      <w:r w:rsidRPr="008A52B6">
        <w:t>. https://www.accessdata.fda.gov</w:t>
      </w:r>
    </w:p>
    <w:p w14:paraId="005B0C2F" w14:textId="77777777" w:rsidR="008A52B6" w:rsidRPr="008A52B6" w:rsidRDefault="008A52B6" w:rsidP="008A52B6">
      <w:r w:rsidRPr="008A52B6">
        <w:t xml:space="preserve">Tracey, D., </w:t>
      </w:r>
      <w:proofErr w:type="spellStart"/>
      <w:r w:rsidRPr="008A52B6">
        <w:t>Klareskog</w:t>
      </w:r>
      <w:proofErr w:type="spellEnd"/>
      <w:r w:rsidRPr="008A52B6">
        <w:t xml:space="preserve">, L., Sasso, E. H., </w:t>
      </w:r>
      <w:proofErr w:type="spellStart"/>
      <w:r w:rsidRPr="008A52B6">
        <w:t>Salfeld</w:t>
      </w:r>
      <w:proofErr w:type="spellEnd"/>
      <w:r w:rsidRPr="008A52B6">
        <w:t xml:space="preserve">, J. G., &amp; Tak, P. P. (2008). Tumor necrosis factor antagonist mechanisms of action: A comprehensive review. </w:t>
      </w:r>
      <w:r w:rsidRPr="008A52B6">
        <w:rPr>
          <w:i/>
          <w:iCs/>
        </w:rPr>
        <w:t>Pharmacology &amp; Therapeutics, 117</w:t>
      </w:r>
      <w:r w:rsidRPr="008A52B6">
        <w:t>(2), 244–279.</w:t>
      </w:r>
    </w:p>
    <w:p w14:paraId="1F205CB1" w14:textId="77777777" w:rsidR="008A52B6" w:rsidRPr="008A52B6" w:rsidRDefault="008A52B6" w:rsidP="008A52B6"/>
    <w:p w14:paraId="7CC297F4" w14:textId="77777777" w:rsidR="005A4F79" w:rsidRDefault="005A4F79"/>
    <w:sectPr w:rsidR="005A4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B6"/>
    <w:rsid w:val="002550C2"/>
    <w:rsid w:val="005A4F79"/>
    <w:rsid w:val="008A52B6"/>
    <w:rsid w:val="00ED6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A760"/>
  <w15:chartTrackingRefBased/>
  <w15:docId w15:val="{FB8163E4-9D3A-47CF-B32F-5B06307E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2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2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2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2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2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2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2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2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2B6"/>
    <w:rPr>
      <w:rFonts w:eastAsiaTheme="majorEastAsia" w:cstheme="majorBidi"/>
      <w:color w:val="272727" w:themeColor="text1" w:themeTint="D8"/>
    </w:rPr>
  </w:style>
  <w:style w:type="paragraph" w:styleId="Title">
    <w:name w:val="Title"/>
    <w:basedOn w:val="Normal"/>
    <w:next w:val="Normal"/>
    <w:link w:val="TitleChar"/>
    <w:uiPriority w:val="10"/>
    <w:qFormat/>
    <w:rsid w:val="008A5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2B6"/>
    <w:pPr>
      <w:spacing w:before="160"/>
      <w:jc w:val="center"/>
    </w:pPr>
    <w:rPr>
      <w:i/>
      <w:iCs/>
      <w:color w:val="404040" w:themeColor="text1" w:themeTint="BF"/>
    </w:rPr>
  </w:style>
  <w:style w:type="character" w:customStyle="1" w:styleId="QuoteChar">
    <w:name w:val="Quote Char"/>
    <w:basedOn w:val="DefaultParagraphFont"/>
    <w:link w:val="Quote"/>
    <w:uiPriority w:val="29"/>
    <w:rsid w:val="008A52B6"/>
    <w:rPr>
      <w:i/>
      <w:iCs/>
      <w:color w:val="404040" w:themeColor="text1" w:themeTint="BF"/>
    </w:rPr>
  </w:style>
  <w:style w:type="paragraph" w:styleId="ListParagraph">
    <w:name w:val="List Paragraph"/>
    <w:basedOn w:val="Normal"/>
    <w:uiPriority w:val="34"/>
    <w:qFormat/>
    <w:rsid w:val="008A52B6"/>
    <w:pPr>
      <w:ind w:left="720"/>
      <w:contextualSpacing/>
    </w:pPr>
  </w:style>
  <w:style w:type="character" w:styleId="IntenseEmphasis">
    <w:name w:val="Intense Emphasis"/>
    <w:basedOn w:val="DefaultParagraphFont"/>
    <w:uiPriority w:val="21"/>
    <w:qFormat/>
    <w:rsid w:val="008A52B6"/>
    <w:rPr>
      <w:i/>
      <w:iCs/>
      <w:color w:val="0F4761" w:themeColor="accent1" w:themeShade="BF"/>
    </w:rPr>
  </w:style>
  <w:style w:type="paragraph" w:styleId="IntenseQuote">
    <w:name w:val="Intense Quote"/>
    <w:basedOn w:val="Normal"/>
    <w:next w:val="Normal"/>
    <w:link w:val="IntenseQuoteChar"/>
    <w:uiPriority w:val="30"/>
    <w:qFormat/>
    <w:rsid w:val="008A5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2B6"/>
    <w:rPr>
      <w:i/>
      <w:iCs/>
      <w:color w:val="0F4761" w:themeColor="accent1" w:themeShade="BF"/>
    </w:rPr>
  </w:style>
  <w:style w:type="character" w:styleId="IntenseReference">
    <w:name w:val="Intense Reference"/>
    <w:basedOn w:val="DefaultParagraphFont"/>
    <w:uiPriority w:val="32"/>
    <w:qFormat/>
    <w:rsid w:val="008A52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NEIDER, HAYDEN</dc:creator>
  <cp:keywords/>
  <dc:description/>
  <cp:lastModifiedBy>NEIDER, HAYDEN</cp:lastModifiedBy>
  <cp:revision>1</cp:revision>
  <dcterms:created xsi:type="dcterms:W3CDTF">2026-03-08T18:46:00Z</dcterms:created>
  <dcterms:modified xsi:type="dcterms:W3CDTF">2026-03-08T18:52:00Z</dcterms:modified>
</cp:coreProperties>
</file>