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Reflection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neighborhood is fairly legible because the main streets clearly structure movement and separate residential areas from busier commercial corridors. The grid layout and consistent housing style make it easy to understand spatially, although some side streets feel repetitive and less imageable. The element that mattered most for my orientation was the </w:t>
      </w:r>
      <w:r w:rsidDel="00000000" w:rsidR="00000000" w:rsidRPr="00000000">
        <w:rPr>
          <w:rFonts w:ascii="Times New Roman" w:cs="Times New Roman" w:eastAsia="Times New Roman" w:hAnsi="Times New Roman"/>
          <w:b w:val="1"/>
          <w:bCs w:val="1"/>
          <w:sz w:val="24"/>
          <w:szCs w:val="24"/>
          <w:rtl w:val="0"/>
        </w:rPr>
        <w:t xml:space="preserve">path</w:t>
      </w:r>
      <w:r w:rsidDel="00000000" w:rsidR="00000000" w:rsidRPr="00000000">
        <w:rPr>
          <w:rFonts w:ascii="Times New Roman" w:cs="Times New Roman" w:eastAsia="Times New Roman" w:hAnsi="Times New Roman"/>
          <w:sz w:val="24"/>
          <w:szCs w:val="24"/>
          <w:rtl w:val="0"/>
        </w:rPr>
        <w:t xml:space="preserve">, particularly the main road that runs through the neighborhood, because I use it as my primary reference point when navigating. Intersections along that road function as nodes where I make directional decisions, and a nearby “Dollar General “ serves as a strong landmark that anchors my mental map. However, this space would likely be experienced differently by a newcomer, who may rely more on visible landmarks, compared to a long-term resident like me who navigates based on habitual routes and spatial familiarity. Someone traveling by car may perceive the neighborhood as well-connected and efficient, while a pedestrian or person with limited mobility might experience certain streets as barriers due to traffic volume, and no sidewalks.</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 310                                                                                                                      Spring 2026</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Hunter Swann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