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F164" w14:textId="34FBF6DD" w:rsidR="00BA47A2" w:rsidRPr="00BA47A2" w:rsidRDefault="002B55DA" w:rsidP="007D7CC5">
      <w:pPr>
        <w:spacing w:line="480" w:lineRule="auto"/>
        <w:jc w:val="center"/>
        <w:rPr>
          <w:rFonts w:ascii="Times New Roman" w:hAnsi="Times New Roman" w:cs="Times New Roman"/>
        </w:rPr>
      </w:pPr>
      <w:r w:rsidRPr="002B55DA">
        <w:rPr>
          <w:rFonts w:ascii="Times New Roman" w:hAnsi="Times New Roman" w:cs="Times New Roman"/>
        </w:rPr>
        <w:t>Effects of Tidal Flooding on Dissolved Inorganic Nutrients in the</w:t>
      </w:r>
      <w:r w:rsidR="000527D4">
        <w:rPr>
          <w:rFonts w:ascii="Times New Roman" w:hAnsi="Times New Roman" w:cs="Times New Roman"/>
        </w:rPr>
        <w:t xml:space="preserve"> Lafayette River,</w:t>
      </w:r>
      <w:r w:rsidRPr="002B55DA">
        <w:rPr>
          <w:rFonts w:ascii="Times New Roman" w:hAnsi="Times New Roman" w:cs="Times New Roman"/>
        </w:rPr>
        <w:t xml:space="preserve"> </w:t>
      </w:r>
      <w:r>
        <w:rPr>
          <w:rFonts w:ascii="Times New Roman" w:hAnsi="Times New Roman" w:cs="Times New Roman"/>
        </w:rPr>
        <w:t>Norfolk</w:t>
      </w:r>
      <w:r w:rsidRPr="002B55DA">
        <w:rPr>
          <w:rFonts w:ascii="Times New Roman" w:hAnsi="Times New Roman" w:cs="Times New Roman"/>
        </w:rPr>
        <w:t>, Virginia</w:t>
      </w:r>
      <w:r w:rsidR="00BA47A2" w:rsidRPr="00BA47A2">
        <w:rPr>
          <w:rFonts w:ascii="Times New Roman" w:hAnsi="Times New Roman" w:cs="Times New Roman"/>
        </w:rPr>
        <w:br/>
      </w:r>
      <w:r w:rsidR="00BA47A2">
        <w:rPr>
          <w:rFonts w:ascii="Times New Roman" w:hAnsi="Times New Roman" w:cs="Times New Roman"/>
        </w:rPr>
        <w:t>Hunter Swann</w:t>
      </w:r>
      <w:r w:rsidR="00BA47A2" w:rsidRPr="00BA47A2">
        <w:rPr>
          <w:rFonts w:ascii="Times New Roman" w:hAnsi="Times New Roman" w:cs="Times New Roman"/>
        </w:rPr>
        <w:br/>
        <w:t>Department of Oceanography, Old Dominion University</w:t>
      </w:r>
      <w:r w:rsidR="00BA47A2" w:rsidRPr="00BA47A2">
        <w:rPr>
          <w:rFonts w:ascii="Times New Roman" w:hAnsi="Times New Roman" w:cs="Times New Roman"/>
        </w:rPr>
        <w:br/>
        <w:t>OEAS 307: Research in Oceanography</w:t>
      </w:r>
      <w:r w:rsidR="00BA47A2" w:rsidRPr="00BA47A2">
        <w:rPr>
          <w:rFonts w:ascii="Times New Roman" w:hAnsi="Times New Roman" w:cs="Times New Roman"/>
        </w:rPr>
        <w:br/>
        <w:t>Dr. Margaret Mulholland</w:t>
      </w:r>
      <w:r w:rsidR="00BA47A2" w:rsidRPr="00BA47A2">
        <w:rPr>
          <w:rFonts w:ascii="Times New Roman" w:hAnsi="Times New Roman" w:cs="Times New Roman"/>
        </w:rPr>
        <w:br/>
      </w:r>
      <w:r w:rsidR="00BA47A2">
        <w:rPr>
          <w:rFonts w:ascii="Times New Roman" w:hAnsi="Times New Roman" w:cs="Times New Roman"/>
        </w:rPr>
        <w:t>7</w:t>
      </w:r>
      <w:r w:rsidR="00BA47A2" w:rsidRPr="00BA47A2">
        <w:rPr>
          <w:rFonts w:ascii="Times New Roman" w:hAnsi="Times New Roman" w:cs="Times New Roman"/>
        </w:rPr>
        <w:t xml:space="preserve"> December 202</w:t>
      </w:r>
      <w:r w:rsidR="00BA47A2">
        <w:rPr>
          <w:rFonts w:ascii="Times New Roman" w:hAnsi="Times New Roman" w:cs="Times New Roman"/>
        </w:rPr>
        <w:t>5</w:t>
      </w:r>
    </w:p>
    <w:p w14:paraId="2D8F6153" w14:textId="77777777" w:rsidR="00BA47A2" w:rsidRDefault="00BA47A2" w:rsidP="007D7CC5">
      <w:pPr>
        <w:spacing w:line="480" w:lineRule="auto"/>
        <w:jc w:val="center"/>
        <w:rPr>
          <w:rFonts w:ascii="Times New Roman" w:hAnsi="Times New Roman" w:cs="Times New Roman"/>
        </w:rPr>
      </w:pPr>
    </w:p>
    <w:p w14:paraId="67D4AC5E" w14:textId="77777777" w:rsidR="00BA47A2" w:rsidRDefault="00BA47A2" w:rsidP="007D7CC5">
      <w:pPr>
        <w:spacing w:line="480" w:lineRule="auto"/>
        <w:jc w:val="center"/>
        <w:rPr>
          <w:rFonts w:ascii="Times New Roman" w:hAnsi="Times New Roman" w:cs="Times New Roman"/>
        </w:rPr>
      </w:pPr>
    </w:p>
    <w:p w14:paraId="517DAE4C" w14:textId="77777777" w:rsidR="00BA47A2" w:rsidRDefault="00BA47A2" w:rsidP="007D7CC5">
      <w:pPr>
        <w:spacing w:line="480" w:lineRule="auto"/>
        <w:jc w:val="center"/>
        <w:rPr>
          <w:rFonts w:ascii="Times New Roman" w:hAnsi="Times New Roman" w:cs="Times New Roman"/>
        </w:rPr>
      </w:pPr>
    </w:p>
    <w:p w14:paraId="21DEC2CE" w14:textId="77777777" w:rsidR="00BA47A2" w:rsidRDefault="00BA47A2" w:rsidP="007D7CC5">
      <w:pPr>
        <w:spacing w:line="480" w:lineRule="auto"/>
        <w:jc w:val="center"/>
        <w:rPr>
          <w:rFonts w:ascii="Times New Roman" w:hAnsi="Times New Roman" w:cs="Times New Roman"/>
        </w:rPr>
      </w:pPr>
    </w:p>
    <w:p w14:paraId="41F78E57" w14:textId="77777777" w:rsidR="00BA47A2" w:rsidRDefault="00BA47A2" w:rsidP="007D7CC5">
      <w:pPr>
        <w:spacing w:line="480" w:lineRule="auto"/>
        <w:jc w:val="center"/>
        <w:rPr>
          <w:rFonts w:ascii="Times New Roman" w:hAnsi="Times New Roman" w:cs="Times New Roman"/>
        </w:rPr>
      </w:pPr>
    </w:p>
    <w:p w14:paraId="4B6927BA" w14:textId="77777777" w:rsidR="00BA47A2" w:rsidRDefault="00BA47A2" w:rsidP="007D7CC5">
      <w:pPr>
        <w:spacing w:line="480" w:lineRule="auto"/>
        <w:jc w:val="center"/>
        <w:rPr>
          <w:rFonts w:ascii="Times New Roman" w:hAnsi="Times New Roman" w:cs="Times New Roman"/>
        </w:rPr>
      </w:pPr>
    </w:p>
    <w:p w14:paraId="72BE7893" w14:textId="77777777" w:rsidR="00BA47A2" w:rsidRDefault="00BA47A2" w:rsidP="007D7CC5">
      <w:pPr>
        <w:spacing w:line="480" w:lineRule="auto"/>
        <w:jc w:val="center"/>
        <w:rPr>
          <w:rFonts w:ascii="Times New Roman" w:hAnsi="Times New Roman" w:cs="Times New Roman"/>
        </w:rPr>
      </w:pPr>
    </w:p>
    <w:p w14:paraId="67709609" w14:textId="77777777" w:rsidR="00BA47A2" w:rsidRDefault="00BA47A2" w:rsidP="007D7CC5">
      <w:pPr>
        <w:spacing w:line="480" w:lineRule="auto"/>
        <w:jc w:val="center"/>
        <w:rPr>
          <w:rFonts w:ascii="Times New Roman" w:hAnsi="Times New Roman" w:cs="Times New Roman"/>
        </w:rPr>
      </w:pPr>
    </w:p>
    <w:p w14:paraId="5083F091" w14:textId="77777777" w:rsidR="00BA47A2" w:rsidRDefault="00BA47A2" w:rsidP="007D7CC5">
      <w:pPr>
        <w:spacing w:line="480" w:lineRule="auto"/>
        <w:jc w:val="center"/>
        <w:rPr>
          <w:rFonts w:ascii="Times New Roman" w:hAnsi="Times New Roman" w:cs="Times New Roman"/>
        </w:rPr>
      </w:pPr>
    </w:p>
    <w:p w14:paraId="4BE245EC" w14:textId="77777777" w:rsidR="00BA47A2" w:rsidRDefault="00BA47A2" w:rsidP="007D7CC5">
      <w:pPr>
        <w:spacing w:line="480" w:lineRule="auto"/>
        <w:jc w:val="center"/>
        <w:rPr>
          <w:rFonts w:ascii="Times New Roman" w:hAnsi="Times New Roman" w:cs="Times New Roman"/>
        </w:rPr>
      </w:pPr>
    </w:p>
    <w:p w14:paraId="407B404C" w14:textId="77777777" w:rsidR="00BA47A2" w:rsidRDefault="00BA47A2" w:rsidP="007D7CC5">
      <w:pPr>
        <w:spacing w:line="480" w:lineRule="auto"/>
        <w:jc w:val="center"/>
        <w:rPr>
          <w:rFonts w:ascii="Times New Roman" w:hAnsi="Times New Roman" w:cs="Times New Roman"/>
        </w:rPr>
      </w:pPr>
    </w:p>
    <w:p w14:paraId="5EC6A243" w14:textId="77777777" w:rsidR="00BA47A2" w:rsidRDefault="00BA47A2" w:rsidP="007D7CC5">
      <w:pPr>
        <w:spacing w:line="480" w:lineRule="auto"/>
        <w:rPr>
          <w:rFonts w:ascii="Times New Roman" w:hAnsi="Times New Roman" w:cs="Times New Roman"/>
        </w:rPr>
      </w:pPr>
    </w:p>
    <w:p w14:paraId="248F6E70" w14:textId="77777777" w:rsidR="007D7CC5" w:rsidRDefault="007D7CC5" w:rsidP="007D7CC5">
      <w:pPr>
        <w:spacing w:line="480" w:lineRule="auto"/>
        <w:rPr>
          <w:rFonts w:ascii="Times New Roman" w:hAnsi="Times New Roman" w:cs="Times New Roman"/>
        </w:rPr>
      </w:pPr>
    </w:p>
    <w:p w14:paraId="4918D65C" w14:textId="48E49F6B" w:rsidR="00BA47A2" w:rsidRPr="00BA47A2" w:rsidRDefault="00BA47A2" w:rsidP="007D7CC5">
      <w:pPr>
        <w:spacing w:line="480" w:lineRule="auto"/>
        <w:rPr>
          <w:rFonts w:ascii="Times New Roman" w:hAnsi="Times New Roman" w:cs="Times New Roman"/>
          <w:b/>
          <w:bCs/>
        </w:rPr>
      </w:pPr>
      <w:r w:rsidRPr="00BA47A2">
        <w:rPr>
          <w:rFonts w:ascii="Times New Roman" w:hAnsi="Times New Roman" w:cs="Times New Roman"/>
          <w:b/>
          <w:bCs/>
        </w:rPr>
        <w:lastRenderedPageBreak/>
        <w:t>Introduction</w:t>
      </w:r>
    </w:p>
    <w:p w14:paraId="77BB405F" w14:textId="6CEB8A8A" w:rsidR="00BA47A2" w:rsidRPr="00BA47A2" w:rsidRDefault="00BA47A2" w:rsidP="007D7CC5">
      <w:pPr>
        <w:spacing w:line="480" w:lineRule="auto"/>
        <w:ind w:firstLine="720"/>
        <w:rPr>
          <w:rFonts w:ascii="Times New Roman" w:hAnsi="Times New Roman" w:cs="Times New Roman"/>
        </w:rPr>
      </w:pPr>
      <w:r w:rsidRPr="00BA47A2">
        <w:rPr>
          <w:rFonts w:ascii="Times New Roman" w:hAnsi="Times New Roman" w:cs="Times New Roman"/>
        </w:rPr>
        <w:t>Tidal flooding is becoming increasingly common in coastal regions due to sea level rise and more frequent extreme weather events. These flood events can alter water chemistry by transporting nutrients from surrounding land surfaces, urban infrastructure, and sediments into estuarine systems. Urbanized coastal areas are especially prone to elevated nutrient inputs because anthropogenic land use increases nitrogen and phosphorus loading to surface waters (Delkash et al., 2018). Excess nutrient concentrations can accelerate eutrophication, promote harmful algal blooms, and degrade ecological health in coastal waterways.</w:t>
      </w:r>
      <w:r w:rsidR="007D7CC5">
        <w:rPr>
          <w:rFonts w:ascii="Times New Roman" w:hAnsi="Times New Roman" w:cs="Times New Roman"/>
        </w:rPr>
        <w:t xml:space="preserve"> </w:t>
      </w:r>
      <w:r w:rsidRPr="00BA47A2">
        <w:rPr>
          <w:rFonts w:ascii="Times New Roman" w:hAnsi="Times New Roman" w:cs="Times New Roman"/>
        </w:rPr>
        <w:t xml:space="preserve">This issue is especially relevant in urbanized coastal areas like the Lafayette River in Norfolk, Virginia, </w:t>
      </w:r>
      <w:proofErr w:type="gramStart"/>
      <w:r w:rsidRPr="00BA47A2">
        <w:rPr>
          <w:rFonts w:ascii="Times New Roman" w:hAnsi="Times New Roman" w:cs="Times New Roman"/>
        </w:rPr>
        <w:t>where</w:t>
      </w:r>
      <w:proofErr w:type="gramEnd"/>
      <w:r w:rsidRPr="00BA47A2">
        <w:rPr>
          <w:rFonts w:ascii="Times New Roman" w:hAnsi="Times New Roman" w:cs="Times New Roman"/>
        </w:rPr>
        <w:t xml:space="preserve"> tidal flooding mixes with nutrient pollution from surrounding human activities. Understanding how nutrient concentrations change and respond to tidal flooding is critical for managing water quality and reducing ecological impacts on the local ecosystems.</w:t>
      </w:r>
    </w:p>
    <w:p w14:paraId="0334E235" w14:textId="58BC60B9" w:rsidR="007D7CC5" w:rsidRPr="007D7CC5" w:rsidRDefault="00BA47A2" w:rsidP="007D7CC5">
      <w:pPr>
        <w:spacing w:line="480" w:lineRule="auto"/>
        <w:rPr>
          <w:rFonts w:ascii="Times New Roman" w:hAnsi="Times New Roman" w:cs="Times New Roman"/>
        </w:rPr>
      </w:pPr>
      <w:r w:rsidRPr="00BA47A2">
        <w:rPr>
          <w:rFonts w:ascii="Times New Roman" w:hAnsi="Times New Roman" w:cs="Times New Roman"/>
        </w:rPr>
        <w:t xml:space="preserve">This study investigates the hypothesis that concentrations of DIN and DIP increase in the Lafayette River following tidal flooding events. Specifically, it asks: </w:t>
      </w:r>
      <w:r w:rsidRPr="00BA47A2">
        <w:rPr>
          <w:rFonts w:ascii="Times New Roman" w:hAnsi="Times New Roman" w:cs="Times New Roman"/>
          <w:i/>
          <w:iCs/>
        </w:rPr>
        <w:t>How do tidal flooding events influence the nutrient concentrations of dissolved inorganic nitrogen and phosphorus in the Lafayette River?</w:t>
      </w:r>
      <w:r w:rsidR="007D7CC5">
        <w:rPr>
          <w:rFonts w:ascii="Times New Roman" w:hAnsi="Times New Roman" w:cs="Times New Roman"/>
        </w:rPr>
        <w:t xml:space="preserve"> </w:t>
      </w:r>
      <w:r w:rsidRPr="00BA47A2">
        <w:rPr>
          <w:rFonts w:ascii="Times New Roman" w:hAnsi="Times New Roman" w:cs="Times New Roman"/>
        </w:rPr>
        <w:t>To address this question, nutrient samples were collected during cruise transects across twenty stations in the lower Chesapeake Bay region. Sampling dates were selected to capture both pre- and post-flooding conditions relative to the September 2025 tidal maximum, two before and two after flooding occurred. Concentrations of nitrate, nitrite, ammonium, and orthophosphate were measured using EPA-approved colorimetric methods. </w:t>
      </w:r>
    </w:p>
    <w:p w14:paraId="613C78CD" w14:textId="77777777" w:rsidR="007D7CC5" w:rsidRDefault="007D7CC5" w:rsidP="007D7CC5">
      <w:pPr>
        <w:spacing w:line="480" w:lineRule="auto"/>
        <w:rPr>
          <w:rFonts w:ascii="Times New Roman" w:hAnsi="Times New Roman" w:cs="Times New Roman"/>
          <w:b/>
          <w:bCs/>
        </w:rPr>
      </w:pPr>
    </w:p>
    <w:p w14:paraId="781B002D" w14:textId="77777777" w:rsidR="007D7CC5" w:rsidRDefault="007D7CC5" w:rsidP="007D7CC5">
      <w:pPr>
        <w:spacing w:line="480" w:lineRule="auto"/>
        <w:rPr>
          <w:rFonts w:ascii="Times New Roman" w:hAnsi="Times New Roman" w:cs="Times New Roman"/>
          <w:b/>
          <w:bCs/>
        </w:rPr>
      </w:pPr>
    </w:p>
    <w:p w14:paraId="4A451924" w14:textId="67F333E6" w:rsidR="00BA47A2" w:rsidRPr="00BA47A2" w:rsidRDefault="00BA47A2" w:rsidP="007D7CC5">
      <w:pPr>
        <w:spacing w:line="480" w:lineRule="auto"/>
        <w:rPr>
          <w:rFonts w:ascii="Times New Roman" w:hAnsi="Times New Roman" w:cs="Times New Roman"/>
          <w:b/>
          <w:bCs/>
        </w:rPr>
      </w:pPr>
      <w:r w:rsidRPr="00BA47A2">
        <w:rPr>
          <w:rFonts w:ascii="Times New Roman" w:hAnsi="Times New Roman" w:cs="Times New Roman"/>
          <w:b/>
          <w:bCs/>
        </w:rPr>
        <w:lastRenderedPageBreak/>
        <w:t>Methods</w:t>
      </w:r>
    </w:p>
    <w:p w14:paraId="051D5765" w14:textId="09DAA7A5" w:rsidR="00BA47A2" w:rsidRPr="00BA47A2" w:rsidRDefault="007D7CC5" w:rsidP="007D7CC5">
      <w:pPr>
        <w:spacing w:line="480" w:lineRule="auto"/>
        <w:ind w:firstLine="720"/>
        <w:rPr>
          <w:rFonts w:ascii="Times New Roman" w:hAnsi="Times New Roman" w:cs="Times New Roman"/>
        </w:rPr>
      </w:pPr>
      <w:r w:rsidRPr="00BA47A2">
        <w:rPr>
          <w:rFonts w:ascii="Times New Roman" w:hAnsi="Times New Roman" w:cs="Times New Roman"/>
        </w:rPr>
        <w:drawing>
          <wp:anchor distT="0" distB="0" distL="114300" distR="114300" simplePos="0" relativeHeight="251658240" behindDoc="1" locked="0" layoutInCell="1" allowOverlap="1" wp14:anchorId="5ABFA4AD" wp14:editId="42B615D7">
            <wp:simplePos x="0" y="0"/>
            <wp:positionH relativeFrom="column">
              <wp:posOffset>682625</wp:posOffset>
            </wp:positionH>
            <wp:positionV relativeFrom="paragraph">
              <wp:posOffset>2668373</wp:posOffset>
            </wp:positionV>
            <wp:extent cx="4324350" cy="3457575"/>
            <wp:effectExtent l="0" t="0" r="0" b="9525"/>
            <wp:wrapTopAndBottom/>
            <wp:docPr id="904678967" name="Picture 2" descr="A map of a city with many c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8967" name="Picture 2" descr="A map of a city with many citi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4350" cy="3457575"/>
                    </a:xfrm>
                    <a:prstGeom prst="rect">
                      <a:avLst/>
                    </a:prstGeom>
                    <a:noFill/>
                    <a:ln>
                      <a:noFill/>
                    </a:ln>
                  </pic:spPr>
                </pic:pic>
              </a:graphicData>
            </a:graphic>
          </wp:anchor>
        </w:drawing>
      </w:r>
      <w:r w:rsidR="00BA47A2" w:rsidRPr="00BA47A2">
        <w:rPr>
          <w:rFonts w:ascii="Times New Roman" w:hAnsi="Times New Roman" w:cs="Times New Roman"/>
        </w:rPr>
        <w:t>Samples for this study were collected as part of a cruise transect designed to monitor water quality changes across multiple stations in the lower Chesapeake Bay region. Sampling occurred on seven separate days: September 8, 10, 15, and 17, 2025, and October 6, 8, and 15, 2025. These dates represented the primary fall sampling period for the Boat Transect. The sampling period also captured tidal variation, with Sept</w:t>
      </w:r>
      <w:r w:rsidR="00BA47A2">
        <w:rPr>
          <w:rFonts w:ascii="Times New Roman" w:hAnsi="Times New Roman" w:cs="Times New Roman"/>
        </w:rPr>
        <w:t xml:space="preserve"> 13 </w:t>
      </w:r>
      <w:r w:rsidR="00BA47A2" w:rsidRPr="00BA47A2">
        <w:rPr>
          <w:rFonts w:ascii="Times New Roman" w:hAnsi="Times New Roman" w:cs="Times New Roman"/>
        </w:rPr>
        <w:t>corresponding to the month’s highest tide.</w:t>
      </w:r>
      <w:r w:rsidR="00BA47A2">
        <w:rPr>
          <w:rFonts w:ascii="Times New Roman" w:hAnsi="Times New Roman" w:cs="Times New Roman"/>
        </w:rPr>
        <w:t xml:space="preserve"> But I determined that peak flooding occurred Sept 10</w:t>
      </w:r>
      <w:r w:rsidR="00BA47A2" w:rsidRPr="00BA47A2">
        <w:rPr>
          <w:rFonts w:ascii="Times New Roman" w:hAnsi="Times New Roman" w:cs="Times New Roman"/>
        </w:rPr>
        <w:t xml:space="preserve"> Two of the sampling days </w:t>
      </w:r>
      <w:r w:rsidR="003B6C84" w:rsidRPr="00BA47A2">
        <w:rPr>
          <w:rFonts w:ascii="Times New Roman" w:hAnsi="Times New Roman" w:cs="Times New Roman"/>
        </w:rPr>
        <w:t>occurred</w:t>
      </w:r>
      <w:r w:rsidR="003B6C84">
        <w:rPr>
          <w:rFonts w:ascii="Times New Roman" w:hAnsi="Times New Roman" w:cs="Times New Roman"/>
        </w:rPr>
        <w:t xml:space="preserve"> before</w:t>
      </w:r>
      <w:r w:rsidR="00BA47A2" w:rsidRPr="00BA47A2">
        <w:rPr>
          <w:rFonts w:ascii="Times New Roman" w:hAnsi="Times New Roman" w:cs="Times New Roman"/>
        </w:rPr>
        <w:t xml:space="preserve"> this tidal maximum and two occurred afterward, providing coverage of both rising and falling tidal conditions. </w:t>
      </w:r>
    </w:p>
    <w:p w14:paraId="2C2A5C0D" w14:textId="5583B98A" w:rsidR="00BA47A2" w:rsidRDefault="00BA47A2" w:rsidP="007D7CC5">
      <w:pPr>
        <w:spacing w:line="480" w:lineRule="auto"/>
        <w:rPr>
          <w:rFonts w:ascii="Times New Roman" w:hAnsi="Times New Roman" w:cs="Times New Roman"/>
        </w:rPr>
      </w:pPr>
      <w:r w:rsidRPr="00BA47A2">
        <w:rPr>
          <w:rFonts w:ascii="Times New Roman" w:hAnsi="Times New Roman" w:cs="Times New Roman"/>
          <w:b/>
          <w:bCs/>
        </w:rPr>
        <w:t>Figure 1.</w:t>
      </w:r>
      <w:r w:rsidRPr="00BA47A2">
        <w:rPr>
          <w:rFonts w:ascii="Times New Roman" w:hAnsi="Times New Roman" w:cs="Times New Roman"/>
        </w:rPr>
        <w:t xml:space="preserve"> Chesapeake Bay </w:t>
      </w:r>
      <w:proofErr w:type="gramStart"/>
      <w:r w:rsidRPr="00BA47A2">
        <w:rPr>
          <w:rFonts w:ascii="Times New Roman" w:hAnsi="Times New Roman" w:cs="Times New Roman"/>
        </w:rPr>
        <w:t>transect</w:t>
      </w:r>
      <w:proofErr w:type="gramEnd"/>
      <w:r w:rsidRPr="00BA47A2">
        <w:rPr>
          <w:rFonts w:ascii="Times New Roman" w:hAnsi="Times New Roman" w:cs="Times New Roman"/>
        </w:rPr>
        <w:t xml:space="preserve"> sampling stations (map created using ODU GPS station data)</w:t>
      </w:r>
    </w:p>
    <w:p w14:paraId="69F965CF" w14:textId="6B721856" w:rsidR="00BA47A2" w:rsidRPr="00BA47A2" w:rsidRDefault="00BA47A2" w:rsidP="007D7CC5">
      <w:pPr>
        <w:spacing w:line="480" w:lineRule="auto"/>
        <w:rPr>
          <w:rFonts w:ascii="Times New Roman" w:hAnsi="Times New Roman" w:cs="Times New Roman"/>
        </w:rPr>
      </w:pPr>
      <w:r w:rsidRPr="00BA47A2">
        <w:rPr>
          <w:rFonts w:ascii="Times New Roman" w:hAnsi="Times New Roman" w:cs="Times New Roman"/>
        </w:rPr>
        <w:t xml:space="preserve">Samples were collected as </w:t>
      </w:r>
      <w:proofErr w:type="gramStart"/>
      <w:r w:rsidRPr="00BA47A2">
        <w:rPr>
          <w:rFonts w:ascii="Times New Roman" w:hAnsi="Times New Roman" w:cs="Times New Roman"/>
        </w:rPr>
        <w:t>grab</w:t>
      </w:r>
      <w:proofErr w:type="gramEnd"/>
      <w:r w:rsidRPr="00BA47A2">
        <w:rPr>
          <w:rFonts w:ascii="Times New Roman" w:hAnsi="Times New Roman" w:cs="Times New Roman"/>
        </w:rPr>
        <w:t xml:space="preserve"> samples at each station</w:t>
      </w:r>
      <w:r w:rsidR="003B6C84">
        <w:rPr>
          <w:rFonts w:ascii="Times New Roman" w:hAnsi="Times New Roman" w:cs="Times New Roman"/>
        </w:rPr>
        <w:t xml:space="preserve"> with 250-mL Nalgene wide-mouth bottles. </w:t>
      </w:r>
      <w:r w:rsidRPr="00BA47A2">
        <w:rPr>
          <w:rFonts w:ascii="Times New Roman" w:hAnsi="Times New Roman" w:cs="Times New Roman"/>
        </w:rPr>
        <w:t xml:space="preserve">Water samples were collected into 15-mL centrifuge tubes, which were pre-cleaned with deionized water before use to prevent contamination. The samples were handled carefully to </w:t>
      </w:r>
      <w:r w:rsidRPr="00BA47A2">
        <w:rPr>
          <w:rFonts w:ascii="Times New Roman" w:hAnsi="Times New Roman" w:cs="Times New Roman"/>
        </w:rPr>
        <w:lastRenderedPageBreak/>
        <w:t>minimize disturbance and to ensure that they reflected in-situ water conditions as accurately as possible.</w:t>
      </w:r>
      <w:r w:rsidR="007D7CC5">
        <w:rPr>
          <w:rFonts w:ascii="Times New Roman" w:hAnsi="Times New Roman" w:cs="Times New Roman"/>
        </w:rPr>
        <w:t xml:space="preserve"> </w:t>
      </w:r>
      <w:r w:rsidRPr="00BA47A2">
        <w:rPr>
          <w:rFonts w:ascii="Times New Roman" w:hAnsi="Times New Roman" w:cs="Times New Roman"/>
        </w:rPr>
        <w:t xml:space="preserve">Because the samples were part of the nutrient analysis project, no filtration was performed in the field. Nutrient (NUTS) samples were immediately frozen in 15-mL centrifuge tubes filled to 12 mL, while ammonium (NH₄) samples were frozen in identical tubes filled to 10 </w:t>
      </w:r>
      <w:proofErr w:type="spellStart"/>
      <w:r w:rsidRPr="00BA47A2">
        <w:rPr>
          <w:rFonts w:ascii="Times New Roman" w:hAnsi="Times New Roman" w:cs="Times New Roman"/>
        </w:rPr>
        <w:t>mL.</w:t>
      </w:r>
      <w:proofErr w:type="spellEnd"/>
      <w:r w:rsidRPr="00BA47A2">
        <w:rPr>
          <w:rFonts w:ascii="Times New Roman" w:hAnsi="Times New Roman" w:cs="Times New Roman"/>
        </w:rPr>
        <w:t xml:space="preserve"> Freezing served as both preservation and temporary storage until laboratory analysis. The samples remain under controlled storage at Old Dominion University (ODU) and are being processed by the ODU Analytical Water Quality Laboratory.</w:t>
      </w:r>
    </w:p>
    <w:p w14:paraId="1FC3AD30" w14:textId="77777777" w:rsidR="00BA47A2" w:rsidRPr="00BA47A2" w:rsidRDefault="00BA47A2" w:rsidP="007D7CC5">
      <w:pPr>
        <w:spacing w:line="480" w:lineRule="auto"/>
        <w:rPr>
          <w:rFonts w:ascii="Times New Roman" w:hAnsi="Times New Roman" w:cs="Times New Roman"/>
        </w:rPr>
      </w:pPr>
      <w:r w:rsidRPr="00BA47A2">
        <w:rPr>
          <w:rFonts w:ascii="Times New Roman" w:hAnsi="Times New Roman" w:cs="Times New Roman"/>
        </w:rPr>
        <w:t xml:space="preserve">Nutrient samples were analyzed by the Old Dominion University Water Quality Laboratory using standard colorimetric methods following EPA-approved protocols. Specifically, nitrate + nitrite (NO₃⁻ + NO₂⁻) were determined using the cadmium reduction method (EPA 353.2; SEAL Analytical Method A-044-19 Rev.5), and orthophosphate (PO₄³⁻) was measured by the ascorbic acid method (EPA 365.1; SEAL Analytical Method A-005-19 Rev.3). Analyses were conducted using a SEAL AA3 </w:t>
      </w:r>
      <w:proofErr w:type="spellStart"/>
      <w:r w:rsidRPr="00BA47A2">
        <w:rPr>
          <w:rFonts w:ascii="Times New Roman" w:hAnsi="Times New Roman" w:cs="Times New Roman"/>
        </w:rPr>
        <w:t>AutoAnalyzer</w:t>
      </w:r>
      <w:proofErr w:type="spellEnd"/>
      <w:r w:rsidRPr="00BA47A2">
        <w:rPr>
          <w:rFonts w:ascii="Times New Roman" w:hAnsi="Times New Roman" w:cs="Times New Roman"/>
        </w:rPr>
        <w:t xml:space="preserve"> (SEAL Analytical, Germany), which automates sample injection, reagent mixing, and absorbance measurement to ensure precision and consistency. The method detection limits (MDLs) and reporting limits (RLs) were 0.0015 and 0.0025 mg/L for nitrate + nitrite, 0.0005 and 0.001 mg/L for nitrite, and 0.0014 and 0.002 mg/L for orthophosphate, respectively. Calibration standards and quality control checks were run with each batch of samples to verify analytical accuracy.</w:t>
      </w:r>
    </w:p>
    <w:p w14:paraId="30D7CF00" w14:textId="77777777" w:rsidR="00BA47A2" w:rsidRPr="00BA47A2" w:rsidRDefault="00BA47A2" w:rsidP="007D7CC5">
      <w:pPr>
        <w:spacing w:line="480" w:lineRule="auto"/>
        <w:rPr>
          <w:rFonts w:ascii="Times New Roman" w:hAnsi="Times New Roman" w:cs="Times New Roman"/>
        </w:rPr>
      </w:pPr>
      <w:r w:rsidRPr="00BA47A2">
        <w:rPr>
          <w:rFonts w:ascii="Times New Roman" w:hAnsi="Times New Roman" w:cs="Times New Roman"/>
        </w:rPr>
        <w:t>No major issues occurred during the cruise transects, though weather conditions occasionally limited visibility and wave action made sampling more difficult at a few sites. All samples were collected successfully, and the timing of the transects relative to the tidal cycle provides a strong basis for examining water quality variability under both pre- and post-flooding conditions.</w:t>
      </w:r>
    </w:p>
    <w:p w14:paraId="47318807" w14:textId="77777777" w:rsidR="007D7CC5" w:rsidRDefault="007D7CC5" w:rsidP="007D7CC5">
      <w:pPr>
        <w:spacing w:line="480" w:lineRule="auto"/>
        <w:rPr>
          <w:rFonts w:ascii="Times New Roman" w:hAnsi="Times New Roman" w:cs="Times New Roman"/>
          <w:b/>
          <w:bCs/>
        </w:rPr>
      </w:pPr>
    </w:p>
    <w:p w14:paraId="26041710" w14:textId="131C7E9A"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lastRenderedPageBreak/>
        <w:t>Results</w:t>
      </w:r>
    </w:p>
    <w:p w14:paraId="05F585FA" w14:textId="6F59A526" w:rsidR="00CB58FC" w:rsidRPr="00CB58FC" w:rsidRDefault="00CB58FC" w:rsidP="007D7CC5">
      <w:pPr>
        <w:spacing w:line="480" w:lineRule="auto"/>
        <w:ind w:firstLine="720"/>
        <w:rPr>
          <w:rFonts w:ascii="Times New Roman" w:hAnsi="Times New Roman" w:cs="Times New Roman"/>
        </w:rPr>
      </w:pPr>
      <w:r w:rsidRPr="00CB58FC">
        <w:rPr>
          <w:rFonts w:ascii="Times New Roman" w:hAnsi="Times New Roman" w:cs="Times New Roman"/>
        </w:rPr>
        <w:t xml:space="preserve">Tidal flooding occurred from </w:t>
      </w:r>
      <w:r w:rsidRPr="00CB58FC">
        <w:rPr>
          <w:rFonts w:ascii="Times New Roman" w:hAnsi="Times New Roman" w:cs="Times New Roman"/>
          <w:b/>
          <w:bCs/>
        </w:rPr>
        <w:t>September 10 to September 15, 2025</w:t>
      </w:r>
      <w:r w:rsidRPr="00CB58FC">
        <w:rPr>
          <w:rFonts w:ascii="Times New Roman" w:hAnsi="Times New Roman" w:cs="Times New Roman"/>
        </w:rPr>
        <w:t xml:space="preserve">, based on water levels exceeding the 3.5 ft minor flooding threshold at the NOAA Sewells Point tide gauge. During this period, water levels reached a maximum of </w:t>
      </w:r>
      <w:r w:rsidRPr="00CB58FC">
        <w:rPr>
          <w:rFonts w:ascii="Times New Roman" w:hAnsi="Times New Roman" w:cs="Times New Roman"/>
          <w:b/>
          <w:bCs/>
        </w:rPr>
        <w:t xml:space="preserve">4.99 ft (1.52 m) </w:t>
      </w:r>
      <w:proofErr w:type="gramStart"/>
      <w:r w:rsidRPr="00CB58FC">
        <w:rPr>
          <w:rFonts w:ascii="Times New Roman" w:hAnsi="Times New Roman" w:cs="Times New Roman"/>
          <w:b/>
          <w:bCs/>
        </w:rPr>
        <w:t>relative</w:t>
      </w:r>
      <w:proofErr w:type="gramEnd"/>
      <w:r w:rsidRPr="00CB58FC">
        <w:rPr>
          <w:rFonts w:ascii="Times New Roman" w:hAnsi="Times New Roman" w:cs="Times New Roman"/>
          <w:b/>
          <w:bCs/>
        </w:rPr>
        <w:t xml:space="preserve"> to MLLW</w:t>
      </w:r>
      <w:r w:rsidRPr="00CB58FC">
        <w:rPr>
          <w:rFonts w:ascii="Times New Roman" w:hAnsi="Times New Roman" w:cs="Times New Roman"/>
        </w:rPr>
        <w:t xml:space="preserve"> on September 15. The first cruise </w:t>
      </w:r>
      <w:r w:rsidR="007D7CC5" w:rsidRPr="00CB58FC">
        <w:rPr>
          <w:rFonts w:ascii="Times New Roman" w:hAnsi="Times New Roman" w:cs="Times New Roman"/>
        </w:rPr>
        <w:t>transects</w:t>
      </w:r>
      <w:r w:rsidRPr="00CB58FC">
        <w:rPr>
          <w:rFonts w:ascii="Times New Roman" w:hAnsi="Times New Roman" w:cs="Times New Roman"/>
        </w:rPr>
        <w:t xml:space="preserve"> sampling day (September 8, 2025) occurred during a high-tide period, and subsequent transects on September 10, 15, and 17 captured conditions immediately before, during, and after the flooding peak. (TABLE)</w:t>
      </w:r>
    </w:p>
    <w:tbl>
      <w:tblPr>
        <w:tblW w:w="9360" w:type="dxa"/>
        <w:tblCellMar>
          <w:top w:w="15" w:type="dxa"/>
          <w:left w:w="15" w:type="dxa"/>
          <w:bottom w:w="15" w:type="dxa"/>
          <w:right w:w="15" w:type="dxa"/>
        </w:tblCellMar>
        <w:tblLook w:val="04A0" w:firstRow="1" w:lastRow="0" w:firstColumn="1" w:lastColumn="0" w:noHBand="0" w:noVBand="1"/>
      </w:tblPr>
      <w:tblGrid>
        <w:gridCol w:w="1396"/>
        <w:gridCol w:w="3124"/>
        <w:gridCol w:w="4840"/>
      </w:tblGrid>
      <w:tr w:rsidR="00CB58FC" w:rsidRPr="00CB58FC" w14:paraId="7A089031" w14:textId="77777777">
        <w:tc>
          <w:tcPr>
            <w:tcW w:w="0" w:type="auto"/>
            <w:tcBorders>
              <w:bottom w:val="single" w:sz="8" w:space="0" w:color="000000"/>
            </w:tcBorders>
            <w:tcMar>
              <w:top w:w="100" w:type="dxa"/>
              <w:left w:w="100" w:type="dxa"/>
              <w:bottom w:w="100" w:type="dxa"/>
              <w:right w:w="100" w:type="dxa"/>
            </w:tcMar>
            <w:hideMark/>
          </w:tcPr>
          <w:p w14:paraId="37216E09"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Date</w:t>
            </w:r>
          </w:p>
        </w:tc>
        <w:tc>
          <w:tcPr>
            <w:tcW w:w="0" w:type="auto"/>
            <w:tcBorders>
              <w:bottom w:val="single" w:sz="8" w:space="0" w:color="000000"/>
            </w:tcBorders>
            <w:tcMar>
              <w:top w:w="100" w:type="dxa"/>
              <w:left w:w="100" w:type="dxa"/>
              <w:bottom w:w="100" w:type="dxa"/>
              <w:right w:w="100" w:type="dxa"/>
            </w:tcMar>
            <w:hideMark/>
          </w:tcPr>
          <w:p w14:paraId="18871B2D"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Time (GMT)</w:t>
            </w:r>
          </w:p>
        </w:tc>
        <w:tc>
          <w:tcPr>
            <w:tcW w:w="0" w:type="auto"/>
            <w:tcBorders>
              <w:bottom w:val="single" w:sz="8" w:space="0" w:color="000000"/>
            </w:tcBorders>
            <w:tcMar>
              <w:top w:w="100" w:type="dxa"/>
              <w:left w:w="100" w:type="dxa"/>
              <w:bottom w:w="100" w:type="dxa"/>
              <w:right w:w="100" w:type="dxa"/>
            </w:tcMar>
            <w:hideMark/>
          </w:tcPr>
          <w:p w14:paraId="122A40E7"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Max Water Level (ft)</w:t>
            </w:r>
          </w:p>
        </w:tc>
      </w:tr>
      <w:tr w:rsidR="00CB58FC" w:rsidRPr="00CB58FC" w14:paraId="7D720307" w14:textId="77777777">
        <w:tc>
          <w:tcPr>
            <w:tcW w:w="0" w:type="auto"/>
            <w:tcBorders>
              <w:top w:val="single" w:sz="8" w:space="0" w:color="000000"/>
            </w:tcBorders>
            <w:tcMar>
              <w:top w:w="100" w:type="dxa"/>
              <w:left w:w="100" w:type="dxa"/>
              <w:bottom w:w="100" w:type="dxa"/>
              <w:right w:w="100" w:type="dxa"/>
            </w:tcMar>
            <w:hideMark/>
          </w:tcPr>
          <w:p w14:paraId="3590A36F"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9/8</w:t>
            </w:r>
          </w:p>
        </w:tc>
        <w:tc>
          <w:tcPr>
            <w:tcW w:w="0" w:type="auto"/>
            <w:tcBorders>
              <w:top w:val="single" w:sz="8" w:space="0" w:color="000000"/>
            </w:tcBorders>
            <w:tcMar>
              <w:top w:w="100" w:type="dxa"/>
              <w:left w:w="100" w:type="dxa"/>
              <w:bottom w:w="100" w:type="dxa"/>
              <w:right w:w="100" w:type="dxa"/>
            </w:tcMar>
            <w:hideMark/>
          </w:tcPr>
          <w:p w14:paraId="08DAA814"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14:12</w:t>
            </w:r>
          </w:p>
        </w:tc>
        <w:tc>
          <w:tcPr>
            <w:tcW w:w="0" w:type="auto"/>
            <w:tcBorders>
              <w:top w:val="single" w:sz="8" w:space="0" w:color="000000"/>
            </w:tcBorders>
            <w:tcMar>
              <w:top w:w="100" w:type="dxa"/>
              <w:left w:w="100" w:type="dxa"/>
              <w:bottom w:w="100" w:type="dxa"/>
              <w:right w:w="100" w:type="dxa"/>
            </w:tcMar>
            <w:hideMark/>
          </w:tcPr>
          <w:p w14:paraId="476EB712"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4.28</w:t>
            </w:r>
          </w:p>
        </w:tc>
      </w:tr>
      <w:tr w:rsidR="00CB58FC" w:rsidRPr="00CB58FC" w14:paraId="1F9390A4" w14:textId="77777777">
        <w:tc>
          <w:tcPr>
            <w:tcW w:w="0" w:type="auto"/>
            <w:tcMar>
              <w:top w:w="100" w:type="dxa"/>
              <w:left w:w="100" w:type="dxa"/>
              <w:bottom w:w="100" w:type="dxa"/>
              <w:right w:w="100" w:type="dxa"/>
            </w:tcMar>
            <w:hideMark/>
          </w:tcPr>
          <w:p w14:paraId="19EB2D6A"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9/10</w:t>
            </w:r>
          </w:p>
        </w:tc>
        <w:tc>
          <w:tcPr>
            <w:tcW w:w="0" w:type="auto"/>
            <w:tcMar>
              <w:top w:w="100" w:type="dxa"/>
              <w:left w:w="100" w:type="dxa"/>
              <w:bottom w:w="100" w:type="dxa"/>
              <w:right w:w="100" w:type="dxa"/>
            </w:tcMar>
            <w:hideMark/>
          </w:tcPr>
          <w:p w14:paraId="6E39F75F"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15:42</w:t>
            </w:r>
          </w:p>
        </w:tc>
        <w:tc>
          <w:tcPr>
            <w:tcW w:w="0" w:type="auto"/>
            <w:tcMar>
              <w:top w:w="100" w:type="dxa"/>
              <w:left w:w="100" w:type="dxa"/>
              <w:bottom w:w="100" w:type="dxa"/>
              <w:right w:w="100" w:type="dxa"/>
            </w:tcMar>
            <w:hideMark/>
          </w:tcPr>
          <w:p w14:paraId="40D3FCBC"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4.99</w:t>
            </w:r>
          </w:p>
        </w:tc>
      </w:tr>
      <w:tr w:rsidR="00CB58FC" w:rsidRPr="00CB58FC" w14:paraId="60ECBEC3" w14:textId="77777777">
        <w:tc>
          <w:tcPr>
            <w:tcW w:w="0" w:type="auto"/>
            <w:tcMar>
              <w:top w:w="100" w:type="dxa"/>
              <w:left w:w="100" w:type="dxa"/>
              <w:bottom w:w="100" w:type="dxa"/>
              <w:right w:w="100" w:type="dxa"/>
            </w:tcMar>
            <w:hideMark/>
          </w:tcPr>
          <w:p w14:paraId="7B209CF8"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9/12</w:t>
            </w:r>
          </w:p>
        </w:tc>
        <w:tc>
          <w:tcPr>
            <w:tcW w:w="0" w:type="auto"/>
            <w:tcMar>
              <w:top w:w="100" w:type="dxa"/>
              <w:left w:w="100" w:type="dxa"/>
              <w:bottom w:w="100" w:type="dxa"/>
              <w:right w:w="100" w:type="dxa"/>
            </w:tcMar>
            <w:hideMark/>
          </w:tcPr>
          <w:p w14:paraId="2D32DB8B"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17:18</w:t>
            </w:r>
          </w:p>
        </w:tc>
        <w:tc>
          <w:tcPr>
            <w:tcW w:w="0" w:type="auto"/>
            <w:tcMar>
              <w:top w:w="100" w:type="dxa"/>
              <w:left w:w="100" w:type="dxa"/>
              <w:bottom w:w="100" w:type="dxa"/>
              <w:right w:w="100" w:type="dxa"/>
            </w:tcMar>
            <w:hideMark/>
          </w:tcPr>
          <w:p w14:paraId="131D2A4E"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4.07</w:t>
            </w:r>
          </w:p>
        </w:tc>
      </w:tr>
      <w:tr w:rsidR="00CB58FC" w:rsidRPr="00CB58FC" w14:paraId="397C4321" w14:textId="77777777">
        <w:tc>
          <w:tcPr>
            <w:tcW w:w="0" w:type="auto"/>
            <w:tcMar>
              <w:top w:w="100" w:type="dxa"/>
              <w:left w:w="100" w:type="dxa"/>
              <w:bottom w:w="100" w:type="dxa"/>
              <w:right w:w="100" w:type="dxa"/>
            </w:tcMar>
            <w:hideMark/>
          </w:tcPr>
          <w:p w14:paraId="755F232A"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9/15</w:t>
            </w:r>
          </w:p>
        </w:tc>
        <w:tc>
          <w:tcPr>
            <w:tcW w:w="0" w:type="auto"/>
            <w:tcMar>
              <w:top w:w="100" w:type="dxa"/>
              <w:left w:w="100" w:type="dxa"/>
              <w:bottom w:w="100" w:type="dxa"/>
              <w:right w:w="100" w:type="dxa"/>
            </w:tcMar>
            <w:hideMark/>
          </w:tcPr>
          <w:p w14:paraId="5DD50AC7"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20:18</w:t>
            </w:r>
          </w:p>
        </w:tc>
        <w:tc>
          <w:tcPr>
            <w:tcW w:w="0" w:type="auto"/>
            <w:tcMar>
              <w:top w:w="100" w:type="dxa"/>
              <w:left w:w="100" w:type="dxa"/>
              <w:bottom w:w="100" w:type="dxa"/>
              <w:right w:w="100" w:type="dxa"/>
            </w:tcMar>
            <w:hideMark/>
          </w:tcPr>
          <w:p w14:paraId="510B4C55"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4.48</w:t>
            </w:r>
          </w:p>
        </w:tc>
      </w:tr>
      <w:tr w:rsidR="00CB58FC" w:rsidRPr="00CB58FC" w14:paraId="25B9FCCE" w14:textId="77777777">
        <w:tc>
          <w:tcPr>
            <w:tcW w:w="0" w:type="auto"/>
            <w:tcMar>
              <w:top w:w="100" w:type="dxa"/>
              <w:left w:w="100" w:type="dxa"/>
              <w:bottom w:w="100" w:type="dxa"/>
              <w:right w:w="100" w:type="dxa"/>
            </w:tcMar>
            <w:hideMark/>
          </w:tcPr>
          <w:p w14:paraId="6F281231"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9/17</w:t>
            </w:r>
          </w:p>
        </w:tc>
        <w:tc>
          <w:tcPr>
            <w:tcW w:w="0" w:type="auto"/>
            <w:tcMar>
              <w:top w:w="100" w:type="dxa"/>
              <w:left w:w="100" w:type="dxa"/>
              <w:bottom w:w="100" w:type="dxa"/>
              <w:right w:w="100" w:type="dxa"/>
            </w:tcMar>
            <w:hideMark/>
          </w:tcPr>
          <w:p w14:paraId="6F4ECD65"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22:36</w:t>
            </w:r>
          </w:p>
        </w:tc>
        <w:tc>
          <w:tcPr>
            <w:tcW w:w="0" w:type="auto"/>
            <w:tcMar>
              <w:top w:w="100" w:type="dxa"/>
              <w:left w:w="100" w:type="dxa"/>
              <w:bottom w:w="100" w:type="dxa"/>
              <w:right w:w="100" w:type="dxa"/>
            </w:tcMar>
            <w:hideMark/>
          </w:tcPr>
          <w:p w14:paraId="3D2A959A"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3.95</w:t>
            </w:r>
          </w:p>
        </w:tc>
      </w:tr>
    </w:tbl>
    <w:p w14:paraId="6B2425BA" w14:textId="77777777" w:rsidR="00CB58FC" w:rsidRPr="00CB58FC" w:rsidRDefault="00CB58FC" w:rsidP="007D7CC5">
      <w:pPr>
        <w:spacing w:line="480" w:lineRule="auto"/>
        <w:rPr>
          <w:rFonts w:ascii="Times New Roman" w:hAnsi="Times New Roman" w:cs="Times New Roman"/>
        </w:rPr>
      </w:pPr>
    </w:p>
    <w:p w14:paraId="71EDAA80" w14:textId="77777777" w:rsidR="000527D4" w:rsidRDefault="000527D4" w:rsidP="007D7CC5">
      <w:pPr>
        <w:spacing w:line="480" w:lineRule="auto"/>
        <w:rPr>
          <w:rFonts w:ascii="Times New Roman" w:hAnsi="Times New Roman" w:cs="Times New Roman"/>
        </w:rPr>
      </w:pPr>
    </w:p>
    <w:p w14:paraId="02FC8785" w14:textId="77777777" w:rsidR="000527D4" w:rsidRDefault="000527D4" w:rsidP="007D7CC5">
      <w:pPr>
        <w:spacing w:line="480" w:lineRule="auto"/>
        <w:rPr>
          <w:rFonts w:ascii="Times New Roman" w:hAnsi="Times New Roman" w:cs="Times New Roman"/>
        </w:rPr>
      </w:pPr>
    </w:p>
    <w:p w14:paraId="245A01EA" w14:textId="77777777" w:rsidR="007D7CC5" w:rsidRDefault="007D7CC5" w:rsidP="007D7CC5">
      <w:pPr>
        <w:spacing w:line="480" w:lineRule="auto"/>
        <w:rPr>
          <w:rFonts w:ascii="Times New Roman" w:hAnsi="Times New Roman" w:cs="Times New Roman"/>
        </w:rPr>
      </w:pPr>
    </w:p>
    <w:p w14:paraId="64C847EE" w14:textId="47AAEABF"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lastRenderedPageBreak/>
        <w:t xml:space="preserve">Across the cruise transects, nutrient concentrations showed clear shifts between the pre-flood and post-flood conditions. </w:t>
      </w:r>
      <w:r w:rsidRPr="00CB58FC">
        <w:rPr>
          <w:rFonts w:ascii="Times New Roman" w:hAnsi="Times New Roman" w:cs="Times New Roman"/>
          <w:b/>
          <w:bCs/>
        </w:rPr>
        <w:t>Before flooding</w:t>
      </w:r>
      <w:r w:rsidRPr="00CB58FC">
        <w:rPr>
          <w:rFonts w:ascii="Times New Roman" w:hAnsi="Times New Roman" w:cs="Times New Roman"/>
        </w:rPr>
        <w:t xml:space="preserve"> (September 8), ammonium (NH₄⁺) concentrations ranged from </w:t>
      </w:r>
      <w:r w:rsidRPr="00CB58FC">
        <w:rPr>
          <w:rFonts w:ascii="Times New Roman" w:hAnsi="Times New Roman" w:cs="Times New Roman"/>
          <w:b/>
          <w:bCs/>
        </w:rPr>
        <w:t>1.42 µM</w:t>
      </w:r>
      <w:r w:rsidRPr="00CB58FC">
        <w:rPr>
          <w:rFonts w:ascii="Times New Roman" w:hAnsi="Times New Roman" w:cs="Times New Roman"/>
        </w:rPr>
        <w:t xml:space="preserve"> at </w:t>
      </w:r>
      <w:r w:rsidRPr="00CB58FC">
        <w:rPr>
          <w:rFonts w:ascii="Times New Roman" w:hAnsi="Times New Roman" w:cs="Times New Roman"/>
          <w:i/>
          <w:iCs/>
        </w:rPr>
        <w:t>Tran_16_090825</w:t>
      </w:r>
      <w:r w:rsidRPr="00CB58FC">
        <w:rPr>
          <w:rFonts w:ascii="Times New Roman" w:hAnsi="Times New Roman" w:cs="Times New Roman"/>
        </w:rPr>
        <w:t xml:space="preserve"> to </w:t>
      </w:r>
      <w:r w:rsidRPr="00CB58FC">
        <w:rPr>
          <w:rFonts w:ascii="Times New Roman" w:hAnsi="Times New Roman" w:cs="Times New Roman"/>
          <w:b/>
          <w:bCs/>
        </w:rPr>
        <w:t>7.96 µM</w:t>
      </w:r>
      <w:r w:rsidRPr="00CB58FC">
        <w:rPr>
          <w:rFonts w:ascii="Times New Roman" w:hAnsi="Times New Roman" w:cs="Times New Roman"/>
        </w:rPr>
        <w:t xml:space="preserve"> at </w:t>
      </w:r>
      <w:r w:rsidRPr="00CB58FC">
        <w:rPr>
          <w:rFonts w:ascii="Times New Roman" w:hAnsi="Times New Roman" w:cs="Times New Roman"/>
          <w:i/>
          <w:iCs/>
        </w:rPr>
        <w:t>Tran_5_090825</w:t>
      </w:r>
      <w:r w:rsidRPr="00CB58FC">
        <w:rPr>
          <w:rFonts w:ascii="Times New Roman" w:hAnsi="Times New Roman" w:cs="Times New Roman"/>
        </w:rPr>
        <w:t xml:space="preserve">. Pre-flood </w:t>
      </w:r>
      <w:r w:rsidRPr="00CB58FC">
        <w:rPr>
          <w:rFonts w:ascii="Times New Roman" w:hAnsi="Times New Roman" w:cs="Times New Roman"/>
          <w:b/>
          <w:bCs/>
        </w:rPr>
        <w:t>NOx</w:t>
      </w:r>
      <w:r w:rsidRPr="00CB58FC">
        <w:rPr>
          <w:rFonts w:ascii="Times New Roman" w:hAnsi="Times New Roman" w:cs="Times New Roman"/>
        </w:rPr>
        <w:t xml:space="preserve"> concentrations ranged from </w:t>
      </w:r>
      <w:r w:rsidRPr="00CB58FC">
        <w:rPr>
          <w:rFonts w:ascii="Times New Roman" w:hAnsi="Times New Roman" w:cs="Times New Roman"/>
          <w:b/>
          <w:bCs/>
        </w:rPr>
        <w:t>1.321 µM</w:t>
      </w:r>
      <w:r w:rsidRPr="00CB58FC">
        <w:rPr>
          <w:rFonts w:ascii="Times New Roman" w:hAnsi="Times New Roman" w:cs="Times New Roman"/>
        </w:rPr>
        <w:t xml:space="preserve"> at </w:t>
      </w:r>
      <w:r w:rsidRPr="00CB58FC">
        <w:rPr>
          <w:rFonts w:ascii="Times New Roman" w:hAnsi="Times New Roman" w:cs="Times New Roman"/>
          <w:i/>
          <w:iCs/>
        </w:rPr>
        <w:t>Tran_1_090825</w:t>
      </w:r>
      <w:r w:rsidRPr="00CB58FC">
        <w:rPr>
          <w:rFonts w:ascii="Times New Roman" w:hAnsi="Times New Roman" w:cs="Times New Roman"/>
        </w:rPr>
        <w:t xml:space="preserve"> to </w:t>
      </w:r>
      <w:r w:rsidRPr="00CB58FC">
        <w:rPr>
          <w:rFonts w:ascii="Times New Roman" w:hAnsi="Times New Roman" w:cs="Times New Roman"/>
          <w:b/>
          <w:bCs/>
        </w:rPr>
        <w:t>4.705 µM</w:t>
      </w:r>
      <w:r w:rsidRPr="00CB58FC">
        <w:rPr>
          <w:rFonts w:ascii="Times New Roman" w:hAnsi="Times New Roman" w:cs="Times New Roman"/>
        </w:rPr>
        <w:t xml:space="preserve"> at </w:t>
      </w:r>
      <w:r w:rsidRPr="00CB58FC">
        <w:rPr>
          <w:rFonts w:ascii="Times New Roman" w:hAnsi="Times New Roman" w:cs="Times New Roman"/>
          <w:i/>
          <w:iCs/>
        </w:rPr>
        <w:t>Tran_20_090825</w:t>
      </w:r>
      <w:r w:rsidRPr="00CB58FC">
        <w:rPr>
          <w:rFonts w:ascii="Times New Roman" w:hAnsi="Times New Roman" w:cs="Times New Roman"/>
        </w:rPr>
        <w:t xml:space="preserve">. Pre-flood </w:t>
      </w:r>
      <w:r w:rsidRPr="00CB58FC">
        <w:rPr>
          <w:rFonts w:ascii="Times New Roman" w:hAnsi="Times New Roman" w:cs="Times New Roman"/>
          <w:b/>
          <w:bCs/>
        </w:rPr>
        <w:t>DIN (NH₄⁺ + NOx)</w:t>
      </w:r>
      <w:r w:rsidRPr="00CB58FC">
        <w:rPr>
          <w:rFonts w:ascii="Times New Roman" w:hAnsi="Times New Roman" w:cs="Times New Roman"/>
        </w:rPr>
        <w:t xml:space="preserve"> ranged from </w:t>
      </w:r>
      <w:r w:rsidRPr="00CB58FC">
        <w:rPr>
          <w:rFonts w:ascii="Times New Roman" w:hAnsi="Times New Roman" w:cs="Times New Roman"/>
          <w:b/>
          <w:bCs/>
        </w:rPr>
        <w:t>5.642 mg/L</w:t>
      </w:r>
      <w:r w:rsidRPr="00CB58FC">
        <w:rPr>
          <w:rFonts w:ascii="Times New Roman" w:hAnsi="Times New Roman" w:cs="Times New Roman"/>
        </w:rPr>
        <w:t xml:space="preserve"> at </w:t>
      </w:r>
      <w:r w:rsidRPr="00CB58FC">
        <w:rPr>
          <w:rFonts w:ascii="Times New Roman" w:hAnsi="Times New Roman" w:cs="Times New Roman"/>
          <w:i/>
          <w:iCs/>
        </w:rPr>
        <w:t>Tran_6_090825</w:t>
      </w:r>
      <w:r w:rsidRPr="00CB58FC">
        <w:rPr>
          <w:rFonts w:ascii="Times New Roman" w:hAnsi="Times New Roman" w:cs="Times New Roman"/>
        </w:rPr>
        <w:t xml:space="preserve"> to </w:t>
      </w:r>
      <w:r w:rsidRPr="00CB58FC">
        <w:rPr>
          <w:rFonts w:ascii="Times New Roman" w:hAnsi="Times New Roman" w:cs="Times New Roman"/>
          <w:b/>
          <w:bCs/>
        </w:rPr>
        <w:t>16.740 mg/L</w:t>
      </w:r>
      <w:r w:rsidRPr="00CB58FC">
        <w:rPr>
          <w:rFonts w:ascii="Times New Roman" w:hAnsi="Times New Roman" w:cs="Times New Roman"/>
        </w:rPr>
        <w:t xml:space="preserve"> at </w:t>
      </w:r>
      <w:r w:rsidRPr="00CB58FC">
        <w:rPr>
          <w:rFonts w:ascii="Times New Roman" w:hAnsi="Times New Roman" w:cs="Times New Roman"/>
          <w:i/>
          <w:iCs/>
        </w:rPr>
        <w:t>Tran_2_091725</w:t>
      </w:r>
      <w:r w:rsidRPr="00CB58FC">
        <w:rPr>
          <w:rFonts w:ascii="Times New Roman" w:hAnsi="Times New Roman" w:cs="Times New Roman"/>
        </w:rPr>
        <w:t>.  </w:t>
      </w:r>
    </w:p>
    <w:tbl>
      <w:tblPr>
        <w:tblW w:w="0" w:type="auto"/>
        <w:tblCellMar>
          <w:top w:w="15" w:type="dxa"/>
          <w:left w:w="15" w:type="dxa"/>
          <w:bottom w:w="15" w:type="dxa"/>
          <w:right w:w="15" w:type="dxa"/>
        </w:tblCellMar>
        <w:tblLook w:val="04A0" w:firstRow="1" w:lastRow="0" w:firstColumn="1" w:lastColumn="0" w:noHBand="0" w:noVBand="1"/>
      </w:tblPr>
      <w:tblGrid>
        <w:gridCol w:w="1296"/>
        <w:gridCol w:w="2016"/>
        <w:gridCol w:w="2018"/>
        <w:gridCol w:w="2015"/>
        <w:gridCol w:w="2015"/>
      </w:tblGrid>
      <w:tr w:rsidR="00CB58FC" w:rsidRPr="00CB58FC" w14:paraId="10B77C44" w14:textId="77777777">
        <w:trPr>
          <w:trHeight w:val="747"/>
        </w:trPr>
        <w:tc>
          <w:tcPr>
            <w:tcW w:w="0" w:type="auto"/>
            <w:tcBorders>
              <w:top w:val="single" w:sz="8" w:space="0" w:color="000000"/>
              <w:bottom w:val="single" w:sz="8" w:space="0" w:color="000000"/>
            </w:tcBorders>
            <w:tcMar>
              <w:top w:w="100" w:type="dxa"/>
              <w:left w:w="100" w:type="dxa"/>
              <w:bottom w:w="100" w:type="dxa"/>
              <w:right w:w="100" w:type="dxa"/>
            </w:tcMar>
            <w:hideMark/>
          </w:tcPr>
          <w:p w14:paraId="727C5CEF"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Parameter</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806371C"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Pre-Flood Minimum</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17CF16F"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Pre-Flood Maximum</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146F503"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Post-Flood Minimum</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A3224B9"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Post-Flood Maximum</w:t>
            </w:r>
          </w:p>
        </w:tc>
      </w:tr>
      <w:tr w:rsidR="00CB58FC" w:rsidRPr="00CB58FC" w14:paraId="5BA74A0A" w14:textId="77777777">
        <w:tc>
          <w:tcPr>
            <w:tcW w:w="0" w:type="auto"/>
            <w:tcBorders>
              <w:top w:val="single" w:sz="8" w:space="0" w:color="000000"/>
            </w:tcBorders>
            <w:tcMar>
              <w:top w:w="100" w:type="dxa"/>
              <w:left w:w="100" w:type="dxa"/>
              <w:bottom w:w="100" w:type="dxa"/>
              <w:right w:w="100" w:type="dxa"/>
            </w:tcMar>
            <w:hideMark/>
          </w:tcPr>
          <w:p w14:paraId="6A26FE60"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NH₄⁺ (µM)</w:t>
            </w:r>
          </w:p>
        </w:tc>
        <w:tc>
          <w:tcPr>
            <w:tcW w:w="0" w:type="auto"/>
            <w:tcBorders>
              <w:top w:val="single" w:sz="8" w:space="0" w:color="000000"/>
            </w:tcBorders>
            <w:tcMar>
              <w:top w:w="100" w:type="dxa"/>
              <w:left w:w="100" w:type="dxa"/>
              <w:bottom w:w="100" w:type="dxa"/>
              <w:right w:w="100" w:type="dxa"/>
            </w:tcMar>
            <w:hideMark/>
          </w:tcPr>
          <w:p w14:paraId="74F99DDF"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1.42 (Tran_16_090825)</w:t>
            </w:r>
          </w:p>
        </w:tc>
        <w:tc>
          <w:tcPr>
            <w:tcW w:w="0" w:type="auto"/>
            <w:tcBorders>
              <w:top w:val="single" w:sz="8" w:space="0" w:color="000000"/>
            </w:tcBorders>
            <w:tcMar>
              <w:top w:w="100" w:type="dxa"/>
              <w:left w:w="100" w:type="dxa"/>
              <w:bottom w:w="100" w:type="dxa"/>
              <w:right w:w="100" w:type="dxa"/>
            </w:tcMar>
            <w:hideMark/>
          </w:tcPr>
          <w:p w14:paraId="272A793C"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7.96 (Tran_5_090825)</w:t>
            </w:r>
          </w:p>
        </w:tc>
        <w:tc>
          <w:tcPr>
            <w:tcW w:w="0" w:type="auto"/>
            <w:tcBorders>
              <w:top w:val="single" w:sz="8" w:space="0" w:color="000000"/>
            </w:tcBorders>
            <w:tcMar>
              <w:top w:w="100" w:type="dxa"/>
              <w:left w:w="100" w:type="dxa"/>
              <w:bottom w:w="100" w:type="dxa"/>
              <w:right w:w="100" w:type="dxa"/>
            </w:tcMar>
            <w:hideMark/>
          </w:tcPr>
          <w:p w14:paraId="2379CB24"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2.77 (Tran_17_091525)</w:t>
            </w:r>
          </w:p>
        </w:tc>
        <w:tc>
          <w:tcPr>
            <w:tcW w:w="0" w:type="auto"/>
            <w:tcBorders>
              <w:top w:val="single" w:sz="8" w:space="0" w:color="000000"/>
            </w:tcBorders>
            <w:tcMar>
              <w:top w:w="100" w:type="dxa"/>
              <w:left w:w="100" w:type="dxa"/>
              <w:bottom w:w="100" w:type="dxa"/>
              <w:right w:w="100" w:type="dxa"/>
            </w:tcMar>
            <w:hideMark/>
          </w:tcPr>
          <w:p w14:paraId="1272DD7A"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6.96 (Tran_10_091525)</w:t>
            </w:r>
          </w:p>
        </w:tc>
      </w:tr>
      <w:tr w:rsidR="00CB58FC" w:rsidRPr="00CB58FC" w14:paraId="7CB9EAD9" w14:textId="77777777">
        <w:tc>
          <w:tcPr>
            <w:tcW w:w="0" w:type="auto"/>
            <w:tcMar>
              <w:top w:w="100" w:type="dxa"/>
              <w:left w:w="100" w:type="dxa"/>
              <w:bottom w:w="100" w:type="dxa"/>
              <w:right w:w="100" w:type="dxa"/>
            </w:tcMar>
            <w:hideMark/>
          </w:tcPr>
          <w:p w14:paraId="3BD04EBB"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NOx (µM)</w:t>
            </w:r>
          </w:p>
        </w:tc>
        <w:tc>
          <w:tcPr>
            <w:tcW w:w="0" w:type="auto"/>
            <w:tcMar>
              <w:top w:w="100" w:type="dxa"/>
              <w:left w:w="100" w:type="dxa"/>
              <w:bottom w:w="100" w:type="dxa"/>
              <w:right w:w="100" w:type="dxa"/>
            </w:tcMar>
            <w:hideMark/>
          </w:tcPr>
          <w:p w14:paraId="41692164"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1.32 (Tran_1_090825)</w:t>
            </w:r>
          </w:p>
        </w:tc>
        <w:tc>
          <w:tcPr>
            <w:tcW w:w="0" w:type="auto"/>
            <w:tcMar>
              <w:top w:w="100" w:type="dxa"/>
              <w:left w:w="100" w:type="dxa"/>
              <w:bottom w:w="100" w:type="dxa"/>
              <w:right w:w="100" w:type="dxa"/>
            </w:tcMar>
            <w:hideMark/>
          </w:tcPr>
          <w:p w14:paraId="7932E1C6"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4.705 (Tran_20_090825)</w:t>
            </w:r>
          </w:p>
        </w:tc>
        <w:tc>
          <w:tcPr>
            <w:tcW w:w="0" w:type="auto"/>
            <w:tcMar>
              <w:top w:w="100" w:type="dxa"/>
              <w:left w:w="100" w:type="dxa"/>
              <w:bottom w:w="100" w:type="dxa"/>
              <w:right w:w="100" w:type="dxa"/>
            </w:tcMar>
            <w:hideMark/>
          </w:tcPr>
          <w:p w14:paraId="300C7113"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2.64 (Tran_19_091525)</w:t>
            </w:r>
          </w:p>
        </w:tc>
        <w:tc>
          <w:tcPr>
            <w:tcW w:w="0" w:type="auto"/>
            <w:tcMar>
              <w:top w:w="100" w:type="dxa"/>
              <w:left w:w="100" w:type="dxa"/>
              <w:bottom w:w="100" w:type="dxa"/>
              <w:right w:w="100" w:type="dxa"/>
            </w:tcMar>
            <w:hideMark/>
          </w:tcPr>
          <w:p w14:paraId="685AC163"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10.74 (Tran_2_091725)</w:t>
            </w:r>
          </w:p>
        </w:tc>
      </w:tr>
      <w:tr w:rsidR="00CB58FC" w:rsidRPr="00CB58FC" w14:paraId="0E141174" w14:textId="77777777">
        <w:tc>
          <w:tcPr>
            <w:tcW w:w="0" w:type="auto"/>
            <w:tcBorders>
              <w:bottom w:val="single" w:sz="8" w:space="0" w:color="000000"/>
            </w:tcBorders>
            <w:tcMar>
              <w:top w:w="100" w:type="dxa"/>
              <w:left w:w="100" w:type="dxa"/>
              <w:bottom w:w="100" w:type="dxa"/>
              <w:right w:w="100" w:type="dxa"/>
            </w:tcMar>
            <w:hideMark/>
          </w:tcPr>
          <w:p w14:paraId="037378A7"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b/>
                <w:bCs/>
              </w:rPr>
              <w:t>DIN (mg/L)</w:t>
            </w:r>
          </w:p>
        </w:tc>
        <w:tc>
          <w:tcPr>
            <w:tcW w:w="0" w:type="auto"/>
            <w:tcBorders>
              <w:bottom w:val="single" w:sz="8" w:space="0" w:color="000000"/>
            </w:tcBorders>
            <w:tcMar>
              <w:top w:w="100" w:type="dxa"/>
              <w:left w:w="100" w:type="dxa"/>
              <w:bottom w:w="100" w:type="dxa"/>
              <w:right w:w="100" w:type="dxa"/>
            </w:tcMar>
            <w:hideMark/>
          </w:tcPr>
          <w:p w14:paraId="7FE84ED8"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5.642 (Tran_6_090825)</w:t>
            </w:r>
          </w:p>
        </w:tc>
        <w:tc>
          <w:tcPr>
            <w:tcW w:w="0" w:type="auto"/>
            <w:tcBorders>
              <w:bottom w:val="single" w:sz="8" w:space="0" w:color="000000"/>
            </w:tcBorders>
            <w:tcMar>
              <w:top w:w="100" w:type="dxa"/>
              <w:left w:w="100" w:type="dxa"/>
              <w:bottom w:w="100" w:type="dxa"/>
              <w:right w:w="100" w:type="dxa"/>
            </w:tcMar>
            <w:hideMark/>
          </w:tcPr>
          <w:p w14:paraId="0E25ACCF"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 (moderate values)</w:t>
            </w:r>
          </w:p>
        </w:tc>
        <w:tc>
          <w:tcPr>
            <w:tcW w:w="0" w:type="auto"/>
            <w:tcBorders>
              <w:bottom w:val="single" w:sz="8" w:space="0" w:color="000000"/>
            </w:tcBorders>
            <w:tcMar>
              <w:top w:w="100" w:type="dxa"/>
              <w:left w:w="100" w:type="dxa"/>
              <w:bottom w:w="100" w:type="dxa"/>
              <w:right w:w="100" w:type="dxa"/>
            </w:tcMar>
            <w:hideMark/>
          </w:tcPr>
          <w:p w14:paraId="566329E2"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w:t>
            </w:r>
          </w:p>
        </w:tc>
        <w:tc>
          <w:tcPr>
            <w:tcW w:w="0" w:type="auto"/>
            <w:tcBorders>
              <w:bottom w:val="single" w:sz="8" w:space="0" w:color="000000"/>
            </w:tcBorders>
            <w:tcMar>
              <w:top w:w="100" w:type="dxa"/>
              <w:left w:w="100" w:type="dxa"/>
              <w:bottom w:w="100" w:type="dxa"/>
              <w:right w:w="100" w:type="dxa"/>
            </w:tcMar>
            <w:hideMark/>
          </w:tcPr>
          <w:p w14:paraId="354AB525" w14:textId="77777777" w:rsidR="00CB58FC" w:rsidRPr="00CB58FC" w:rsidRDefault="00CB58FC" w:rsidP="007D7CC5">
            <w:pPr>
              <w:spacing w:line="480" w:lineRule="auto"/>
              <w:rPr>
                <w:rFonts w:ascii="Times New Roman" w:hAnsi="Times New Roman" w:cs="Times New Roman"/>
              </w:rPr>
            </w:pPr>
            <w:r w:rsidRPr="00CB58FC">
              <w:rPr>
                <w:rFonts w:ascii="Times New Roman" w:hAnsi="Times New Roman" w:cs="Times New Roman"/>
              </w:rPr>
              <w:t>16.74 (Tran_2_091725)</w:t>
            </w:r>
          </w:p>
        </w:tc>
      </w:tr>
    </w:tbl>
    <w:p w14:paraId="22469FA1" w14:textId="49D51246" w:rsidR="007D7CC5" w:rsidRDefault="000527D4" w:rsidP="007D7CC5">
      <w:pPr>
        <w:spacing w:line="480" w:lineRule="auto"/>
        <w:rPr>
          <w:rFonts w:ascii="Times New Roman" w:hAnsi="Times New Roman" w:cs="Times New Roman"/>
        </w:rPr>
      </w:pPr>
      <w:r>
        <w:rPr>
          <w:noProof/>
        </w:rPr>
        <w:lastRenderedPageBreak/>
        <w:drawing>
          <wp:anchor distT="0" distB="0" distL="114300" distR="114300" simplePos="0" relativeHeight="251659264" behindDoc="0" locked="0" layoutInCell="1" allowOverlap="1" wp14:anchorId="20F4B6F9" wp14:editId="28634291">
            <wp:simplePos x="0" y="0"/>
            <wp:positionH relativeFrom="column">
              <wp:posOffset>-149002</wp:posOffset>
            </wp:positionH>
            <wp:positionV relativeFrom="paragraph">
              <wp:posOffset>552450</wp:posOffset>
            </wp:positionV>
            <wp:extent cx="5943600" cy="3674110"/>
            <wp:effectExtent l="0" t="0" r="0" b="2540"/>
            <wp:wrapTopAndBottom/>
            <wp:docPr id="29823817" name="Picture 3" descr="A graph with colorful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3817" name="Picture 3" descr="A graph with colorful lines and numbe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74110"/>
                    </a:xfrm>
                    <a:prstGeom prst="rect">
                      <a:avLst/>
                    </a:prstGeom>
                    <a:noFill/>
                    <a:ln>
                      <a:noFill/>
                    </a:ln>
                  </pic:spPr>
                </pic:pic>
              </a:graphicData>
            </a:graphic>
          </wp:anchor>
        </w:drawing>
      </w:r>
      <w:r w:rsidR="00CB58FC" w:rsidRPr="00CB58FC">
        <w:rPr>
          <w:rFonts w:ascii="Times New Roman" w:hAnsi="Times New Roman" w:cs="Times New Roman"/>
          <w:b/>
          <w:bCs/>
        </w:rPr>
        <w:t>After the flood</w:t>
      </w:r>
      <w:r w:rsidR="00CB58FC" w:rsidRPr="00CB58FC">
        <w:rPr>
          <w:rFonts w:ascii="Times New Roman" w:hAnsi="Times New Roman" w:cs="Times New Roman"/>
        </w:rPr>
        <w:t xml:space="preserve"> (September 15 and 17), nutrient concentrations increased at many stations. Post-flood NH₄⁺ ranged from </w:t>
      </w:r>
      <w:r w:rsidR="00CB58FC" w:rsidRPr="00CB58FC">
        <w:rPr>
          <w:rFonts w:ascii="Times New Roman" w:hAnsi="Times New Roman" w:cs="Times New Roman"/>
          <w:b/>
          <w:bCs/>
        </w:rPr>
        <w:t>2.769 µM</w:t>
      </w:r>
      <w:r w:rsidR="00CB58FC" w:rsidRPr="00CB58FC">
        <w:rPr>
          <w:rFonts w:ascii="Times New Roman" w:hAnsi="Times New Roman" w:cs="Times New Roman"/>
        </w:rPr>
        <w:t xml:space="preserve"> at </w:t>
      </w:r>
      <w:r w:rsidR="00CB58FC" w:rsidRPr="00CB58FC">
        <w:rPr>
          <w:rFonts w:ascii="Times New Roman" w:hAnsi="Times New Roman" w:cs="Times New Roman"/>
          <w:i/>
          <w:iCs/>
        </w:rPr>
        <w:t>Tran_17_091525</w:t>
      </w:r>
      <w:r w:rsidR="00CB58FC" w:rsidRPr="00CB58FC">
        <w:rPr>
          <w:rFonts w:ascii="Times New Roman" w:hAnsi="Times New Roman" w:cs="Times New Roman"/>
        </w:rPr>
        <w:t xml:space="preserve"> to </w:t>
      </w:r>
      <w:r w:rsidR="00CB58FC" w:rsidRPr="00CB58FC">
        <w:rPr>
          <w:rFonts w:ascii="Times New Roman" w:hAnsi="Times New Roman" w:cs="Times New Roman"/>
          <w:b/>
          <w:bCs/>
        </w:rPr>
        <w:t>6.958 µM</w:t>
      </w:r>
      <w:r w:rsidR="00CB58FC" w:rsidRPr="00CB58FC">
        <w:rPr>
          <w:rFonts w:ascii="Times New Roman" w:hAnsi="Times New Roman" w:cs="Times New Roman"/>
        </w:rPr>
        <w:t xml:space="preserve"> at </w:t>
      </w:r>
      <w:r w:rsidR="00CB58FC" w:rsidRPr="00CB58FC">
        <w:rPr>
          <w:rFonts w:ascii="Times New Roman" w:hAnsi="Times New Roman" w:cs="Times New Roman"/>
          <w:i/>
          <w:iCs/>
        </w:rPr>
        <w:t>Tran_10_091525</w:t>
      </w:r>
      <w:r w:rsidR="00CB58FC" w:rsidRPr="00CB58FC">
        <w:rPr>
          <w:rFonts w:ascii="Times New Roman" w:hAnsi="Times New Roman" w:cs="Times New Roman"/>
        </w:rPr>
        <w:t xml:space="preserve">. Post-flood NOx ranged from </w:t>
      </w:r>
      <w:r w:rsidR="00CB58FC" w:rsidRPr="00CB58FC">
        <w:rPr>
          <w:rFonts w:ascii="Times New Roman" w:hAnsi="Times New Roman" w:cs="Times New Roman"/>
          <w:b/>
          <w:bCs/>
        </w:rPr>
        <w:t>2.643 µM</w:t>
      </w:r>
      <w:r w:rsidR="00CB58FC" w:rsidRPr="00CB58FC">
        <w:rPr>
          <w:rFonts w:ascii="Times New Roman" w:hAnsi="Times New Roman" w:cs="Times New Roman"/>
        </w:rPr>
        <w:t xml:space="preserve"> at </w:t>
      </w:r>
      <w:r w:rsidR="00CB58FC" w:rsidRPr="00CB58FC">
        <w:rPr>
          <w:rFonts w:ascii="Times New Roman" w:hAnsi="Times New Roman" w:cs="Times New Roman"/>
          <w:i/>
          <w:iCs/>
        </w:rPr>
        <w:t>Tran_19_091525</w:t>
      </w:r>
      <w:r w:rsidR="00CB58FC" w:rsidRPr="00CB58FC">
        <w:rPr>
          <w:rFonts w:ascii="Times New Roman" w:hAnsi="Times New Roman" w:cs="Times New Roman"/>
        </w:rPr>
        <w:t xml:space="preserve"> to </w:t>
      </w:r>
      <w:r w:rsidR="00CB58FC" w:rsidRPr="00CB58FC">
        <w:rPr>
          <w:rFonts w:ascii="Times New Roman" w:hAnsi="Times New Roman" w:cs="Times New Roman"/>
          <w:b/>
          <w:bCs/>
        </w:rPr>
        <w:t>10.736 µM</w:t>
      </w:r>
      <w:r w:rsidR="00CB58FC" w:rsidRPr="00CB58FC">
        <w:rPr>
          <w:rFonts w:ascii="Times New Roman" w:hAnsi="Times New Roman" w:cs="Times New Roman"/>
        </w:rPr>
        <w:t xml:space="preserve"> at </w:t>
      </w:r>
      <w:r w:rsidR="00CB58FC" w:rsidRPr="00CB58FC">
        <w:rPr>
          <w:rFonts w:ascii="Times New Roman" w:hAnsi="Times New Roman" w:cs="Times New Roman"/>
          <w:i/>
          <w:iCs/>
        </w:rPr>
        <w:t>Tran_2_091725</w:t>
      </w:r>
      <w:r w:rsidR="00CB58FC" w:rsidRPr="00CB58FC">
        <w:rPr>
          <w:rFonts w:ascii="Times New Roman" w:hAnsi="Times New Roman" w:cs="Times New Roman"/>
        </w:rPr>
        <w:t xml:space="preserve">. These increases produced post-flood DIN concentrations as high as </w:t>
      </w:r>
      <w:r w:rsidR="00CB58FC" w:rsidRPr="00CB58FC">
        <w:rPr>
          <w:rFonts w:ascii="Times New Roman" w:hAnsi="Times New Roman" w:cs="Times New Roman"/>
          <w:b/>
          <w:bCs/>
        </w:rPr>
        <w:t>16.740 mg/L</w:t>
      </w:r>
      <w:r w:rsidR="00CB58FC" w:rsidRPr="00CB58FC">
        <w:rPr>
          <w:rFonts w:ascii="Times New Roman" w:hAnsi="Times New Roman" w:cs="Times New Roman"/>
        </w:rPr>
        <w:t xml:space="preserve"> at </w:t>
      </w:r>
      <w:r w:rsidR="00CB58FC" w:rsidRPr="00CB58FC">
        <w:rPr>
          <w:rFonts w:ascii="Times New Roman" w:hAnsi="Times New Roman" w:cs="Times New Roman"/>
          <w:i/>
          <w:iCs/>
        </w:rPr>
        <w:t>Tran_2_091725</w:t>
      </w:r>
      <w:r w:rsidR="00CB58FC" w:rsidRPr="00CB58FC">
        <w:rPr>
          <w:rFonts w:ascii="Times New Roman" w:hAnsi="Times New Roman" w:cs="Times New Roman"/>
        </w:rPr>
        <w:t>, the highest DIN value observed across all transects.</w:t>
      </w:r>
      <w:r w:rsidR="007D7CC5">
        <w:rPr>
          <w:rFonts w:ascii="Times New Roman" w:hAnsi="Times New Roman" w:cs="Times New Roman"/>
        </w:rPr>
        <w:t xml:space="preserve"> </w:t>
      </w:r>
      <w:r w:rsidR="003B6C84" w:rsidRPr="003B6C84">
        <w:rPr>
          <w:rFonts w:ascii="Times New Roman" w:hAnsi="Times New Roman" w:cs="Times New Roman"/>
        </w:rPr>
        <w:t>This figure shows DIN concentrations across Stations 1–20, with different bars representing each sampling date. The clear upward shift in post-flood dates illustrates the flood-associated increase in inorganic nitrogen across the river system.</w:t>
      </w:r>
    </w:p>
    <w:p w14:paraId="24CD9DF4" w14:textId="544626AD" w:rsidR="003B6C84" w:rsidRPr="007D7CC5" w:rsidRDefault="003B6C84" w:rsidP="007D7CC5">
      <w:pPr>
        <w:spacing w:line="480" w:lineRule="auto"/>
        <w:rPr>
          <w:rFonts w:ascii="Times New Roman" w:hAnsi="Times New Roman" w:cs="Times New Roman"/>
        </w:rPr>
      </w:pPr>
      <w:r w:rsidRPr="003B6C84">
        <w:rPr>
          <w:rFonts w:ascii="Times New Roman" w:hAnsi="Times New Roman" w:cs="Times New Roman"/>
          <w:b/>
          <w:bCs/>
        </w:rPr>
        <w:t>Discussion</w:t>
      </w:r>
    </w:p>
    <w:p w14:paraId="74775088" w14:textId="37815642" w:rsidR="002B55DA" w:rsidRPr="002B55DA" w:rsidRDefault="002B55DA" w:rsidP="007D7CC5">
      <w:pPr>
        <w:spacing w:line="480" w:lineRule="auto"/>
        <w:ind w:firstLine="720"/>
        <w:rPr>
          <w:rFonts w:ascii="Times New Roman" w:hAnsi="Times New Roman" w:cs="Times New Roman"/>
        </w:rPr>
      </w:pPr>
      <w:r w:rsidRPr="002B55DA">
        <w:rPr>
          <w:rFonts w:ascii="Times New Roman" w:hAnsi="Times New Roman" w:cs="Times New Roman"/>
        </w:rPr>
        <w:t xml:space="preserve">Baseline nutrient concentrations in the Lafayette River prior to the king-tide event were consistent with typical late-summer conditions for urban Chesapeake Bay tributaries. Pre-flood NH₄⁺ (1.42–7.96 µM) and NOx (1.32–4.71 µM) fell within ranges reported in previous studies, indicating that the system was in a relatively normal nutrient state before the flooding occurred. </w:t>
      </w:r>
      <w:r w:rsidRPr="002B55DA">
        <w:rPr>
          <w:rFonts w:ascii="Times New Roman" w:hAnsi="Times New Roman" w:cs="Times New Roman"/>
        </w:rPr>
        <w:lastRenderedPageBreak/>
        <w:t>These values serve as an important reference point for evaluating the magnitude of the subsequent changes.</w:t>
      </w:r>
      <w:r w:rsidR="007D7CC5">
        <w:rPr>
          <w:rFonts w:ascii="Times New Roman" w:hAnsi="Times New Roman" w:cs="Times New Roman"/>
        </w:rPr>
        <w:t xml:space="preserve"> </w:t>
      </w:r>
      <w:r w:rsidRPr="002B55DA">
        <w:rPr>
          <w:rFonts w:ascii="Times New Roman" w:hAnsi="Times New Roman" w:cs="Times New Roman"/>
        </w:rPr>
        <w:t>Following the king-tide flood, however, nutrient concentrations increased substantially. NOx rose to a maximum of 10.74 µM, far exceeding background levels, and DIN peaked at 16.74 mg/</w:t>
      </w:r>
      <w:proofErr w:type="gramStart"/>
      <w:r w:rsidRPr="002B55DA">
        <w:rPr>
          <w:rFonts w:ascii="Times New Roman" w:hAnsi="Times New Roman" w:cs="Times New Roman"/>
        </w:rPr>
        <w:t>L</w:t>
      </w:r>
      <w:r>
        <w:rPr>
          <w:rFonts w:ascii="Times New Roman" w:hAnsi="Times New Roman" w:cs="Times New Roman"/>
        </w:rPr>
        <w:t xml:space="preserve"> </w:t>
      </w:r>
      <w:r w:rsidRPr="002B55DA">
        <w:rPr>
          <w:rFonts w:ascii="Times New Roman" w:hAnsi="Times New Roman" w:cs="Times New Roman"/>
        </w:rPr>
        <w:t>the</w:t>
      </w:r>
      <w:proofErr w:type="gramEnd"/>
      <w:r w:rsidRPr="002B55DA">
        <w:rPr>
          <w:rFonts w:ascii="Times New Roman" w:hAnsi="Times New Roman" w:cs="Times New Roman"/>
        </w:rPr>
        <w:t xml:space="preserve"> highest concentration recorded during the study period. These sharp increases strongly suggest that the flood acted as a significant nutrient delivery mechanism. Likely sources include urban runoff, overland flow across impervious surfaces, sediment resuspension, and the flushing of nutrient-rich soils and stormwater infrastructure. Similar flood-driven nutrient pulses have been documented in estuarine systems globally (Mallin 2002; Morse 2004; </w:t>
      </w:r>
      <w:proofErr w:type="spellStart"/>
      <w:r w:rsidRPr="002B55DA">
        <w:rPr>
          <w:rFonts w:ascii="Times New Roman" w:hAnsi="Times New Roman" w:cs="Times New Roman"/>
        </w:rPr>
        <w:t>Paerl</w:t>
      </w:r>
      <w:proofErr w:type="spellEnd"/>
      <w:r w:rsidRPr="002B55DA">
        <w:rPr>
          <w:rFonts w:ascii="Times New Roman" w:hAnsi="Times New Roman" w:cs="Times New Roman"/>
        </w:rPr>
        <w:t xml:space="preserve"> 2018), supporting the conclusion that tidal flooding can rapidly alter nutrient dynamics in coastal waterways.</w:t>
      </w:r>
      <w:r w:rsidR="007D7CC5">
        <w:rPr>
          <w:rFonts w:ascii="Times New Roman" w:hAnsi="Times New Roman" w:cs="Times New Roman"/>
        </w:rPr>
        <w:t xml:space="preserve"> </w:t>
      </w:r>
      <w:r w:rsidRPr="002B55DA">
        <w:rPr>
          <w:rFonts w:ascii="Times New Roman" w:hAnsi="Times New Roman" w:cs="Times New Roman"/>
        </w:rPr>
        <w:t>In the short term, elevated DIN concentrations have several ecological implications. Increased nutrient availability can stimulate algal production, alter microbial processing pathways, and enhance eutrophication risk. Rapid changes in NOx and NH₄⁺ availability may also disrupt the balance between nitrification and denitrification, temporarily shifting nitrogen cycling within the system.</w:t>
      </w:r>
    </w:p>
    <w:p w14:paraId="22D29A90" w14:textId="0ECC23FD"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The longer-term implications are equally concerning. With sea-level rise driving more frequent “nuisance” tidal flooding in coastal cities such as Norfolk, episodic nutrient pulses could become a chronic feature of the Lafayette River. Repeated flooding events may contribute to sustained water-quality degradation, including more frequent algal blooms, reduced dissolved oxygen, and altered habitat structure. Over time, such changes can reshape food-web dynamics and undermine ongoing restoration efforts.</w:t>
      </w:r>
      <w:r w:rsidR="007D7CC5">
        <w:rPr>
          <w:rFonts w:ascii="Times New Roman" w:hAnsi="Times New Roman" w:cs="Times New Roman"/>
        </w:rPr>
        <w:t xml:space="preserve"> </w:t>
      </w:r>
      <w:r w:rsidRPr="002B55DA">
        <w:rPr>
          <w:rFonts w:ascii="Times New Roman" w:hAnsi="Times New Roman" w:cs="Times New Roman"/>
        </w:rPr>
        <w:t xml:space="preserve">These findings highlight the need for adaptive management strategies that explicitly account for nutrient loading associated with tidal </w:t>
      </w:r>
      <w:proofErr w:type="gramStart"/>
      <w:r w:rsidRPr="002B55DA">
        <w:rPr>
          <w:rFonts w:ascii="Times New Roman" w:hAnsi="Times New Roman" w:cs="Times New Roman"/>
        </w:rPr>
        <w:t>flooding</w:t>
      </w:r>
      <w:proofErr w:type="gramEnd"/>
      <w:r>
        <w:rPr>
          <w:rFonts w:ascii="Times New Roman" w:hAnsi="Times New Roman" w:cs="Times New Roman"/>
        </w:rPr>
        <w:t xml:space="preserve"> </w:t>
      </w:r>
      <w:r w:rsidRPr="002B55DA">
        <w:rPr>
          <w:rFonts w:ascii="Times New Roman" w:hAnsi="Times New Roman" w:cs="Times New Roman"/>
        </w:rPr>
        <w:t xml:space="preserve">not only rainfall-driven stormwater runoff. Restoration and mitigation approaches such as living shorelines, stormwater retrofits, and oyster-reef enhancements may need to be reassessed or </w:t>
      </w:r>
      <w:r w:rsidRPr="002B55DA">
        <w:rPr>
          <w:rFonts w:ascii="Times New Roman" w:hAnsi="Times New Roman" w:cs="Times New Roman"/>
        </w:rPr>
        <w:lastRenderedPageBreak/>
        <w:t>expanded to address the growing influence of tidal-flood-driven nutrient transport. As coastal flooding becomes more common, integrating these processes into watershed management will be critical for maintaining ecological function and water quality in urban tributaries like the Lafayette River.</w:t>
      </w:r>
    </w:p>
    <w:p w14:paraId="232C6A2C" w14:textId="77777777" w:rsidR="003B6C84" w:rsidRDefault="003B6C84" w:rsidP="007D7CC5">
      <w:pPr>
        <w:spacing w:line="480" w:lineRule="auto"/>
        <w:rPr>
          <w:rFonts w:ascii="Times New Roman" w:hAnsi="Times New Roman" w:cs="Times New Roman"/>
          <w:b/>
          <w:bCs/>
        </w:rPr>
      </w:pPr>
    </w:p>
    <w:p w14:paraId="5751E159" w14:textId="77777777" w:rsidR="002B55DA" w:rsidRDefault="002B55DA" w:rsidP="007D7CC5">
      <w:pPr>
        <w:spacing w:line="480" w:lineRule="auto"/>
        <w:rPr>
          <w:rFonts w:ascii="Times New Roman" w:hAnsi="Times New Roman" w:cs="Times New Roman"/>
          <w:b/>
          <w:bCs/>
        </w:rPr>
      </w:pPr>
    </w:p>
    <w:p w14:paraId="7010B576" w14:textId="77777777" w:rsidR="007D7CC5" w:rsidRDefault="007D7CC5" w:rsidP="007D7CC5">
      <w:pPr>
        <w:spacing w:line="480" w:lineRule="auto"/>
        <w:rPr>
          <w:rFonts w:ascii="Times New Roman" w:hAnsi="Times New Roman" w:cs="Times New Roman"/>
          <w:b/>
          <w:bCs/>
        </w:rPr>
      </w:pPr>
    </w:p>
    <w:p w14:paraId="61CE6A32" w14:textId="77777777" w:rsidR="007D7CC5" w:rsidRDefault="007D7CC5" w:rsidP="007D7CC5">
      <w:pPr>
        <w:spacing w:line="480" w:lineRule="auto"/>
        <w:rPr>
          <w:rFonts w:ascii="Times New Roman" w:hAnsi="Times New Roman" w:cs="Times New Roman"/>
          <w:b/>
          <w:bCs/>
        </w:rPr>
      </w:pPr>
    </w:p>
    <w:p w14:paraId="406055A9" w14:textId="77777777" w:rsidR="007D7CC5" w:rsidRDefault="007D7CC5" w:rsidP="007D7CC5">
      <w:pPr>
        <w:spacing w:line="480" w:lineRule="auto"/>
        <w:rPr>
          <w:rFonts w:ascii="Times New Roman" w:hAnsi="Times New Roman" w:cs="Times New Roman"/>
          <w:b/>
          <w:bCs/>
        </w:rPr>
      </w:pPr>
    </w:p>
    <w:p w14:paraId="350C27BE" w14:textId="77777777" w:rsidR="007D7CC5" w:rsidRDefault="007D7CC5" w:rsidP="007D7CC5">
      <w:pPr>
        <w:spacing w:line="480" w:lineRule="auto"/>
        <w:rPr>
          <w:rFonts w:ascii="Times New Roman" w:hAnsi="Times New Roman" w:cs="Times New Roman"/>
          <w:b/>
          <w:bCs/>
        </w:rPr>
      </w:pPr>
    </w:p>
    <w:p w14:paraId="50905D0A" w14:textId="77777777" w:rsidR="007D7CC5" w:rsidRDefault="007D7CC5" w:rsidP="007D7CC5">
      <w:pPr>
        <w:spacing w:line="480" w:lineRule="auto"/>
        <w:rPr>
          <w:rFonts w:ascii="Times New Roman" w:hAnsi="Times New Roman" w:cs="Times New Roman"/>
          <w:b/>
          <w:bCs/>
        </w:rPr>
      </w:pPr>
    </w:p>
    <w:p w14:paraId="4950F058" w14:textId="77777777" w:rsidR="007D7CC5" w:rsidRDefault="007D7CC5" w:rsidP="007D7CC5">
      <w:pPr>
        <w:spacing w:line="480" w:lineRule="auto"/>
        <w:rPr>
          <w:rFonts w:ascii="Times New Roman" w:hAnsi="Times New Roman" w:cs="Times New Roman"/>
          <w:b/>
          <w:bCs/>
        </w:rPr>
      </w:pPr>
    </w:p>
    <w:p w14:paraId="341ADBB5" w14:textId="77777777" w:rsidR="007D7CC5" w:rsidRDefault="007D7CC5" w:rsidP="007D7CC5">
      <w:pPr>
        <w:spacing w:line="480" w:lineRule="auto"/>
        <w:rPr>
          <w:rFonts w:ascii="Times New Roman" w:hAnsi="Times New Roman" w:cs="Times New Roman"/>
          <w:b/>
          <w:bCs/>
        </w:rPr>
      </w:pPr>
    </w:p>
    <w:p w14:paraId="06DD3DFE" w14:textId="77777777" w:rsidR="007D7CC5" w:rsidRDefault="007D7CC5" w:rsidP="007D7CC5">
      <w:pPr>
        <w:spacing w:line="480" w:lineRule="auto"/>
        <w:rPr>
          <w:rFonts w:ascii="Times New Roman" w:hAnsi="Times New Roman" w:cs="Times New Roman"/>
          <w:b/>
          <w:bCs/>
        </w:rPr>
      </w:pPr>
    </w:p>
    <w:p w14:paraId="433328F2" w14:textId="77777777" w:rsidR="007D7CC5" w:rsidRDefault="007D7CC5" w:rsidP="007D7CC5">
      <w:pPr>
        <w:spacing w:line="480" w:lineRule="auto"/>
        <w:rPr>
          <w:rFonts w:ascii="Times New Roman" w:hAnsi="Times New Roman" w:cs="Times New Roman"/>
          <w:b/>
          <w:bCs/>
        </w:rPr>
      </w:pPr>
    </w:p>
    <w:p w14:paraId="27AB1BA6" w14:textId="77777777" w:rsidR="007D7CC5" w:rsidRDefault="007D7CC5" w:rsidP="007D7CC5">
      <w:pPr>
        <w:spacing w:line="480" w:lineRule="auto"/>
        <w:rPr>
          <w:rFonts w:ascii="Times New Roman" w:hAnsi="Times New Roman" w:cs="Times New Roman"/>
          <w:b/>
          <w:bCs/>
        </w:rPr>
      </w:pPr>
    </w:p>
    <w:p w14:paraId="296E9E61" w14:textId="77777777" w:rsidR="007D7CC5" w:rsidRDefault="007D7CC5" w:rsidP="007D7CC5">
      <w:pPr>
        <w:spacing w:line="480" w:lineRule="auto"/>
        <w:rPr>
          <w:rFonts w:ascii="Times New Roman" w:hAnsi="Times New Roman" w:cs="Times New Roman"/>
          <w:b/>
          <w:bCs/>
        </w:rPr>
      </w:pPr>
    </w:p>
    <w:p w14:paraId="1979D2D6" w14:textId="77777777" w:rsidR="007D7CC5" w:rsidRDefault="007D7CC5" w:rsidP="007D7CC5">
      <w:pPr>
        <w:spacing w:line="480" w:lineRule="auto"/>
        <w:rPr>
          <w:rFonts w:ascii="Times New Roman" w:hAnsi="Times New Roman" w:cs="Times New Roman"/>
          <w:b/>
          <w:bCs/>
        </w:rPr>
      </w:pPr>
    </w:p>
    <w:p w14:paraId="40A24DDC" w14:textId="77777777" w:rsidR="007D7CC5" w:rsidRDefault="007D7CC5" w:rsidP="007D7CC5">
      <w:pPr>
        <w:spacing w:line="480" w:lineRule="auto"/>
        <w:rPr>
          <w:rFonts w:ascii="Times New Roman" w:hAnsi="Times New Roman" w:cs="Times New Roman"/>
          <w:b/>
          <w:bCs/>
        </w:rPr>
      </w:pPr>
    </w:p>
    <w:p w14:paraId="7FD0ABAE" w14:textId="719A1EF3" w:rsidR="002B55DA" w:rsidRPr="002B55DA" w:rsidRDefault="002B55DA" w:rsidP="007D7CC5">
      <w:pPr>
        <w:spacing w:line="480" w:lineRule="auto"/>
        <w:rPr>
          <w:rFonts w:ascii="Times New Roman" w:hAnsi="Times New Roman" w:cs="Times New Roman"/>
          <w:b/>
          <w:bCs/>
        </w:rPr>
      </w:pPr>
      <w:r w:rsidRPr="002B55DA">
        <w:rPr>
          <w:rFonts w:ascii="Times New Roman" w:hAnsi="Times New Roman" w:cs="Times New Roman"/>
          <w:b/>
          <w:bCs/>
        </w:rPr>
        <w:lastRenderedPageBreak/>
        <w:t>Citations</w:t>
      </w:r>
    </w:p>
    <w:p w14:paraId="035740BB"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Delkash, M., Al-Faraj, F. A. M., &amp; Scholz, M. (2018). </w:t>
      </w:r>
      <w:r w:rsidRPr="002B55DA">
        <w:rPr>
          <w:rFonts w:ascii="Times New Roman" w:hAnsi="Times New Roman" w:cs="Times New Roman"/>
          <w:i/>
          <w:iCs/>
        </w:rPr>
        <w:t>Impacts of anthropogenic land use changes on nutrient concentrations in surface waterbodies: A review.</w:t>
      </w:r>
      <w:r w:rsidRPr="002B55DA">
        <w:rPr>
          <w:rFonts w:ascii="Times New Roman" w:hAnsi="Times New Roman" w:cs="Times New Roman"/>
        </w:rPr>
        <w:t xml:space="preserve"> CLEAN – Soil, Air, Water, 46(5). </w:t>
      </w:r>
      <w:hyperlink r:id="rId8" w:history="1">
        <w:r w:rsidRPr="002B55DA">
          <w:rPr>
            <w:rStyle w:val="Hyperlink"/>
            <w:rFonts w:ascii="Times New Roman" w:hAnsi="Times New Roman" w:cs="Times New Roman"/>
          </w:rPr>
          <w:t>https://doi.org/10.1002/clen.201800051</w:t>
        </w:r>
      </w:hyperlink>
    </w:p>
    <w:p w14:paraId="455AE5A1"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U.S. Environmental Protection Agency. (1993). </w:t>
      </w:r>
      <w:r w:rsidRPr="002B55DA">
        <w:rPr>
          <w:rFonts w:ascii="Times New Roman" w:hAnsi="Times New Roman" w:cs="Times New Roman"/>
          <w:i/>
          <w:iCs/>
        </w:rPr>
        <w:t>Methods for the determination of inorganic substances in environmental samples</w:t>
      </w:r>
      <w:r w:rsidRPr="002B55DA">
        <w:rPr>
          <w:rFonts w:ascii="Times New Roman" w:hAnsi="Times New Roman" w:cs="Times New Roman"/>
        </w:rPr>
        <w:t xml:space="preserve"> (EPA-600/4-79-020). Method 353.2, Rev. 2.0.</w:t>
      </w:r>
      <w:hyperlink r:id="rId9" w:history="1">
        <w:r w:rsidRPr="002B55DA">
          <w:rPr>
            <w:rStyle w:val="Hyperlink"/>
            <w:rFonts w:ascii="Times New Roman" w:hAnsi="Times New Roman" w:cs="Times New Roman"/>
          </w:rPr>
          <w:t xml:space="preserve"> https://nepis.epa.gov/</w:t>
        </w:r>
      </w:hyperlink>
    </w:p>
    <w:p w14:paraId="4B2824F5"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U.S. Environmental Protection Agency. (1993). </w:t>
      </w:r>
      <w:r w:rsidRPr="002B55DA">
        <w:rPr>
          <w:rFonts w:ascii="Times New Roman" w:hAnsi="Times New Roman" w:cs="Times New Roman"/>
          <w:i/>
          <w:iCs/>
        </w:rPr>
        <w:t>Methods for the determination of inorganic substances in environmental samples</w:t>
      </w:r>
      <w:r w:rsidRPr="002B55DA">
        <w:rPr>
          <w:rFonts w:ascii="Times New Roman" w:hAnsi="Times New Roman" w:cs="Times New Roman"/>
        </w:rPr>
        <w:t xml:space="preserve"> (EPA-600/4-79-020). Method 365.1, Rev. 2.0.</w:t>
      </w:r>
      <w:hyperlink r:id="rId10" w:history="1">
        <w:r w:rsidRPr="002B55DA">
          <w:rPr>
            <w:rStyle w:val="Hyperlink"/>
            <w:rFonts w:ascii="Times New Roman" w:hAnsi="Times New Roman" w:cs="Times New Roman"/>
          </w:rPr>
          <w:t xml:space="preserve"> https://nepis.epa.gov/</w:t>
        </w:r>
      </w:hyperlink>
    </w:p>
    <w:p w14:paraId="5E1EB22E"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SEAL Analytical. (2019). </w:t>
      </w:r>
      <w:r w:rsidRPr="002B55DA">
        <w:rPr>
          <w:rFonts w:ascii="Times New Roman" w:hAnsi="Times New Roman" w:cs="Times New Roman"/>
          <w:i/>
          <w:iCs/>
        </w:rPr>
        <w:t>Method A-044-19 Rev. 5: Nitrate + Nitrite (NOx) analysis</w:t>
      </w:r>
      <w:r w:rsidRPr="002B55DA">
        <w:rPr>
          <w:rFonts w:ascii="Times New Roman" w:hAnsi="Times New Roman" w:cs="Times New Roman"/>
        </w:rPr>
        <w:t>. SEAL Analytical Instruments.</w:t>
      </w:r>
    </w:p>
    <w:p w14:paraId="5AA66D1F"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SEAL Analytical. (2019). </w:t>
      </w:r>
      <w:r w:rsidRPr="002B55DA">
        <w:rPr>
          <w:rFonts w:ascii="Times New Roman" w:hAnsi="Times New Roman" w:cs="Times New Roman"/>
          <w:i/>
          <w:iCs/>
        </w:rPr>
        <w:t>Method A-005-19 Rev. 3: Orthophosphate (PO₄³⁻) analysis</w:t>
      </w:r>
      <w:r w:rsidRPr="002B55DA">
        <w:rPr>
          <w:rFonts w:ascii="Times New Roman" w:hAnsi="Times New Roman" w:cs="Times New Roman"/>
        </w:rPr>
        <w:t>. SEAL Analytical Instruments.</w:t>
      </w:r>
    </w:p>
    <w:p w14:paraId="3DB51302"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Ammonium (Lab Protocol)</w:t>
      </w:r>
      <w:r w:rsidRPr="002B55DA">
        <w:rPr>
          <w:rFonts w:ascii="Times New Roman" w:hAnsi="Times New Roman" w:cs="Times New Roman"/>
        </w:rPr>
        <w:br/>
        <w:t xml:space="preserve"> ODU Oceanography Water Quality Lab. (2023). </w:t>
      </w:r>
      <w:r w:rsidRPr="002B55DA">
        <w:rPr>
          <w:rFonts w:ascii="Times New Roman" w:hAnsi="Times New Roman" w:cs="Times New Roman"/>
          <w:i/>
          <w:iCs/>
        </w:rPr>
        <w:t>Ammonium (NH₄⁺) colorimetric analysis protocol</w:t>
      </w:r>
      <w:r w:rsidRPr="002B55DA">
        <w:rPr>
          <w:rFonts w:ascii="Times New Roman" w:hAnsi="Times New Roman" w:cs="Times New Roman"/>
        </w:rPr>
        <w:t xml:space="preserve"> (Unpublished laboratory method).</w:t>
      </w:r>
    </w:p>
    <w:p w14:paraId="66A6F7E9"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Kemp, W. M., Boynton, W. R., Adolf, J. E., Boesch, D. F., Boicourt, W. C., Brush, G., Cornwell, J. C., Fisher, T. R., </w:t>
      </w:r>
      <w:proofErr w:type="spellStart"/>
      <w:r w:rsidRPr="002B55DA">
        <w:rPr>
          <w:rFonts w:ascii="Times New Roman" w:hAnsi="Times New Roman" w:cs="Times New Roman"/>
        </w:rPr>
        <w:t>Glibert</w:t>
      </w:r>
      <w:proofErr w:type="spellEnd"/>
      <w:r w:rsidRPr="002B55DA">
        <w:rPr>
          <w:rFonts w:ascii="Times New Roman" w:hAnsi="Times New Roman" w:cs="Times New Roman"/>
        </w:rPr>
        <w:t xml:space="preserve">, P. M., Hagy, J. D., Harding, L. W., Houde, E. D., Kimmel, D. G., Miller, W. D., Newell, R. I. E., Roman, M. R., Smith, E. M., &amp; Stevenson, J. C. (2005). Eutrophication of Chesapeake Bay: Historical trends and ecological interactions. </w:t>
      </w:r>
      <w:r w:rsidRPr="002B55DA">
        <w:rPr>
          <w:rFonts w:ascii="Times New Roman" w:hAnsi="Times New Roman" w:cs="Times New Roman"/>
          <w:i/>
          <w:iCs/>
        </w:rPr>
        <w:t xml:space="preserve">Marine </w:t>
      </w:r>
      <w:r w:rsidRPr="002B55DA">
        <w:rPr>
          <w:rFonts w:ascii="Times New Roman" w:hAnsi="Times New Roman" w:cs="Times New Roman"/>
          <w:i/>
          <w:iCs/>
        </w:rPr>
        <w:lastRenderedPageBreak/>
        <w:t>Ecology Progress Series, 303</w:t>
      </w:r>
      <w:r w:rsidRPr="002B55DA">
        <w:rPr>
          <w:rFonts w:ascii="Times New Roman" w:hAnsi="Times New Roman" w:cs="Times New Roman"/>
        </w:rPr>
        <w:t xml:space="preserve">, 1–29. </w:t>
      </w:r>
      <w:hyperlink r:id="rId11" w:history="1">
        <w:r w:rsidRPr="002B55DA">
          <w:rPr>
            <w:rStyle w:val="Hyperlink"/>
            <w:rFonts w:ascii="Times New Roman" w:hAnsi="Times New Roman" w:cs="Times New Roman"/>
          </w:rPr>
          <w:t>https://www.researchgate.net/publication/228375141_Eutrophication_of_Chesapeake_Bay_Historical_Trends_and_Ecological_Interactions</w:t>
        </w:r>
      </w:hyperlink>
    </w:p>
    <w:p w14:paraId="2E818AB9"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Mallin, M. A., Williams, K. E., Esham, E. C., &amp; Lowe, R. P. (2002). Effects of hurricanes on coastal ecosystems. </w:t>
      </w:r>
      <w:r w:rsidRPr="002B55DA">
        <w:rPr>
          <w:rFonts w:ascii="Times New Roman" w:hAnsi="Times New Roman" w:cs="Times New Roman"/>
          <w:i/>
          <w:iCs/>
        </w:rPr>
        <w:t>Estuaries, 25</w:t>
      </w:r>
      <w:r w:rsidRPr="002B55DA">
        <w:rPr>
          <w:rFonts w:ascii="Times New Roman" w:hAnsi="Times New Roman" w:cs="Times New Roman"/>
        </w:rPr>
        <w:t xml:space="preserve">(6), 113–127. </w:t>
      </w:r>
      <w:hyperlink r:id="rId12" w:history="1">
        <w:r w:rsidRPr="002B55DA">
          <w:rPr>
            <w:rStyle w:val="Hyperlink"/>
            <w:rFonts w:ascii="Times New Roman" w:hAnsi="Times New Roman" w:cs="Times New Roman"/>
          </w:rPr>
          <w:t>https://www.researchgate.net/publication/225441088_Hurricane_impacts_on_coastal_ecosystems</w:t>
        </w:r>
      </w:hyperlink>
    </w:p>
    <w:p w14:paraId="3AB3B652"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Morse, R. E., Mulholland, M. R., &amp; Hunley, W. S. (2004). Nutrient loading and algal blooms in estuarine systems. </w:t>
      </w:r>
      <w:r w:rsidRPr="002B55DA">
        <w:rPr>
          <w:rFonts w:ascii="Times New Roman" w:hAnsi="Times New Roman" w:cs="Times New Roman"/>
          <w:i/>
          <w:iCs/>
        </w:rPr>
        <w:t>Estuarine, Coastal and Shelf Science, 61</w:t>
      </w:r>
      <w:r w:rsidRPr="002B55DA">
        <w:rPr>
          <w:rFonts w:ascii="Times New Roman" w:hAnsi="Times New Roman" w:cs="Times New Roman"/>
        </w:rPr>
        <w:t xml:space="preserve">(3), 381–393. </w:t>
      </w:r>
      <w:hyperlink r:id="rId13" w:history="1">
        <w:r w:rsidRPr="002B55DA">
          <w:rPr>
            <w:rStyle w:val="Hyperlink"/>
            <w:rFonts w:ascii="Times New Roman" w:hAnsi="Times New Roman" w:cs="Times New Roman"/>
          </w:rPr>
          <w:t>https://pmc.ncbi.nlm.nih.gov/articles/PMC5029501/</w:t>
        </w:r>
      </w:hyperlink>
    </w:p>
    <w:p w14:paraId="1B663CD6" w14:textId="77777777" w:rsidR="002B55DA" w:rsidRPr="002B55DA" w:rsidRDefault="002B55DA" w:rsidP="007D7CC5">
      <w:pPr>
        <w:spacing w:line="480" w:lineRule="auto"/>
        <w:rPr>
          <w:rFonts w:ascii="Times New Roman" w:hAnsi="Times New Roman" w:cs="Times New Roman"/>
        </w:rPr>
      </w:pPr>
      <w:proofErr w:type="spellStart"/>
      <w:r w:rsidRPr="002B55DA">
        <w:rPr>
          <w:rFonts w:ascii="Times New Roman" w:hAnsi="Times New Roman" w:cs="Times New Roman"/>
        </w:rPr>
        <w:t>Paerl</w:t>
      </w:r>
      <w:proofErr w:type="spellEnd"/>
      <w:r w:rsidRPr="002B55DA">
        <w:rPr>
          <w:rFonts w:ascii="Times New Roman" w:hAnsi="Times New Roman" w:cs="Times New Roman"/>
        </w:rPr>
        <w:t xml:space="preserve">, H. W., Crosswell, J. R., Van Dam, B., Hall, N. S., Rossignol, K. L., &amp; Osburn, C. L. (2018). Two decades of tropical cyclone impacts on North Carolina’s estuarine carbon, nutrient, and phytoplankton dynamics. </w:t>
      </w:r>
      <w:r w:rsidRPr="002B55DA">
        <w:rPr>
          <w:rFonts w:ascii="Times New Roman" w:hAnsi="Times New Roman" w:cs="Times New Roman"/>
          <w:i/>
          <w:iCs/>
        </w:rPr>
        <w:t>Biogeochemistry, 141</w:t>
      </w:r>
      <w:r w:rsidRPr="002B55DA">
        <w:rPr>
          <w:rFonts w:ascii="Times New Roman" w:hAnsi="Times New Roman" w:cs="Times New Roman"/>
        </w:rPr>
        <w:t xml:space="preserve">, 307–332. </w:t>
      </w:r>
      <w:hyperlink r:id="rId14" w:history="1">
        <w:r w:rsidRPr="002B55DA">
          <w:rPr>
            <w:rStyle w:val="Hyperlink"/>
            <w:rFonts w:ascii="Times New Roman" w:hAnsi="Times New Roman" w:cs="Times New Roman"/>
          </w:rPr>
          <w:t>https://www.nsf.gov/news/two-decades-hurricanes-change-coastal-ecosystems</w:t>
        </w:r>
      </w:hyperlink>
    </w:p>
    <w:p w14:paraId="3C389770" w14:textId="77777777" w:rsidR="002B55DA" w:rsidRPr="002B55DA" w:rsidRDefault="002B55DA" w:rsidP="007D7CC5">
      <w:pPr>
        <w:spacing w:line="480" w:lineRule="auto"/>
        <w:rPr>
          <w:rFonts w:ascii="Times New Roman" w:hAnsi="Times New Roman" w:cs="Times New Roman"/>
        </w:rPr>
      </w:pPr>
      <w:r w:rsidRPr="002B55DA">
        <w:rPr>
          <w:rFonts w:ascii="Times New Roman" w:hAnsi="Times New Roman" w:cs="Times New Roman"/>
        </w:rPr>
        <w:t xml:space="preserve">Testa, J. M., Kemp, W. M., &amp; Boynton, W. R. (2012). Seasonal and spatial patterns of nutrient sources and transformations in </w:t>
      </w:r>
      <w:proofErr w:type="gramStart"/>
      <w:r w:rsidRPr="002B55DA">
        <w:rPr>
          <w:rFonts w:ascii="Times New Roman" w:hAnsi="Times New Roman" w:cs="Times New Roman"/>
        </w:rPr>
        <w:t>the Chesapeake</w:t>
      </w:r>
      <w:proofErr w:type="gramEnd"/>
      <w:r w:rsidRPr="002B55DA">
        <w:rPr>
          <w:rFonts w:ascii="Times New Roman" w:hAnsi="Times New Roman" w:cs="Times New Roman"/>
        </w:rPr>
        <w:t xml:space="preserve"> Bay. </w:t>
      </w:r>
      <w:r w:rsidRPr="002B55DA">
        <w:rPr>
          <w:rFonts w:ascii="Times New Roman" w:hAnsi="Times New Roman" w:cs="Times New Roman"/>
          <w:i/>
          <w:iCs/>
        </w:rPr>
        <w:t>Estuaries and Coasts, 35</w:t>
      </w:r>
      <w:r w:rsidRPr="002B55DA">
        <w:rPr>
          <w:rFonts w:ascii="Times New Roman" w:hAnsi="Times New Roman" w:cs="Times New Roman"/>
        </w:rPr>
        <w:t xml:space="preserve">, 1082–1097. </w:t>
      </w:r>
      <w:hyperlink r:id="rId15" w:history="1">
        <w:r w:rsidRPr="002B55DA">
          <w:rPr>
            <w:rStyle w:val="Hyperlink"/>
            <w:rFonts w:ascii="Times New Roman" w:hAnsi="Times New Roman" w:cs="Times New Roman"/>
          </w:rPr>
          <w:t>https://www.chesapeakebay.net/files/documents/1-s2.0-S0043135420309428-main.pdf</w:t>
        </w:r>
      </w:hyperlink>
    </w:p>
    <w:p w14:paraId="3A95E635" w14:textId="62167848" w:rsidR="002B55DA" w:rsidRPr="003B6C84" w:rsidRDefault="002B55DA" w:rsidP="002B55DA">
      <w:pPr>
        <w:rPr>
          <w:rFonts w:ascii="Times New Roman" w:hAnsi="Times New Roman" w:cs="Times New Roman"/>
          <w:b/>
          <w:bCs/>
        </w:rPr>
      </w:pPr>
      <w:r w:rsidRPr="002B55DA">
        <w:rPr>
          <w:rFonts w:ascii="Times New Roman" w:hAnsi="Times New Roman" w:cs="Times New Roman"/>
          <w:b/>
          <w:bCs/>
        </w:rPr>
        <w:br/>
      </w:r>
      <w:r w:rsidRPr="002B55DA">
        <w:rPr>
          <w:rFonts w:ascii="Times New Roman" w:hAnsi="Times New Roman" w:cs="Times New Roman"/>
          <w:b/>
          <w:bCs/>
        </w:rPr>
        <w:br/>
      </w:r>
    </w:p>
    <w:sectPr w:rsidR="002B55DA" w:rsidRPr="003B6C8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394E" w14:textId="77777777" w:rsidR="00541764" w:rsidRDefault="00541764" w:rsidP="00BA47A2">
      <w:pPr>
        <w:spacing w:after="0" w:line="240" w:lineRule="auto"/>
      </w:pPr>
      <w:r>
        <w:separator/>
      </w:r>
    </w:p>
  </w:endnote>
  <w:endnote w:type="continuationSeparator" w:id="0">
    <w:p w14:paraId="29E230B1" w14:textId="77777777" w:rsidR="00541764" w:rsidRDefault="00541764" w:rsidP="00BA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8A59" w14:textId="73D6DB5D" w:rsidR="00BA47A2" w:rsidRPr="00BA47A2" w:rsidRDefault="00BA47A2">
    <w:pPr>
      <w:pStyle w:val="Footer"/>
      <w:jc w:val="right"/>
      <w:rPr>
        <w:color w:val="000000" w:themeColor="text1"/>
      </w:rPr>
    </w:pPr>
    <w:r w:rsidRPr="00BA47A2">
      <w:rPr>
        <w:color w:val="000000" w:themeColor="text1"/>
        <w:sz w:val="20"/>
        <w:szCs w:val="20"/>
      </w:rPr>
      <w:fldChar w:fldCharType="begin"/>
    </w:r>
    <w:r w:rsidRPr="00BA47A2">
      <w:rPr>
        <w:color w:val="000000" w:themeColor="text1"/>
        <w:sz w:val="20"/>
        <w:szCs w:val="20"/>
      </w:rPr>
      <w:instrText xml:space="preserve"> PAGE  \* Arabic </w:instrText>
    </w:r>
    <w:r w:rsidRPr="00BA47A2">
      <w:rPr>
        <w:color w:val="000000" w:themeColor="text1"/>
        <w:sz w:val="20"/>
        <w:szCs w:val="20"/>
      </w:rPr>
      <w:fldChar w:fldCharType="separate"/>
    </w:r>
    <w:r w:rsidRPr="00BA47A2">
      <w:rPr>
        <w:noProof/>
        <w:color w:val="000000" w:themeColor="text1"/>
        <w:sz w:val="20"/>
        <w:szCs w:val="20"/>
      </w:rPr>
      <w:t>1</w:t>
    </w:r>
    <w:r w:rsidRPr="00BA47A2">
      <w:rPr>
        <w:color w:val="000000" w:themeColor="text1"/>
        <w:sz w:val="20"/>
        <w:szCs w:val="20"/>
      </w:rPr>
      <w:fldChar w:fldCharType="end"/>
    </w:r>
  </w:p>
  <w:p w14:paraId="73FEC952" w14:textId="77777777" w:rsidR="00BA47A2" w:rsidRDefault="00BA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C35D" w14:textId="77777777" w:rsidR="00541764" w:rsidRDefault="00541764" w:rsidP="00BA47A2">
      <w:pPr>
        <w:spacing w:after="0" w:line="240" w:lineRule="auto"/>
      </w:pPr>
      <w:r>
        <w:separator/>
      </w:r>
    </w:p>
  </w:footnote>
  <w:footnote w:type="continuationSeparator" w:id="0">
    <w:p w14:paraId="238F80E5" w14:textId="77777777" w:rsidR="00541764" w:rsidRDefault="00541764" w:rsidP="00BA4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A2"/>
    <w:rsid w:val="000527D4"/>
    <w:rsid w:val="002B55DA"/>
    <w:rsid w:val="003B6C84"/>
    <w:rsid w:val="00541764"/>
    <w:rsid w:val="007D7CC5"/>
    <w:rsid w:val="008D3B47"/>
    <w:rsid w:val="00BA47A2"/>
    <w:rsid w:val="00CB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3983"/>
  <w15:chartTrackingRefBased/>
  <w15:docId w15:val="{33579327-34F1-492D-82A6-A7896DC7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7A2"/>
    <w:rPr>
      <w:rFonts w:eastAsiaTheme="majorEastAsia" w:cstheme="majorBidi"/>
      <w:color w:val="272727" w:themeColor="text1" w:themeTint="D8"/>
    </w:rPr>
  </w:style>
  <w:style w:type="paragraph" w:styleId="Title">
    <w:name w:val="Title"/>
    <w:basedOn w:val="Normal"/>
    <w:next w:val="Normal"/>
    <w:link w:val="TitleChar"/>
    <w:uiPriority w:val="10"/>
    <w:qFormat/>
    <w:rsid w:val="00BA4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7A2"/>
    <w:pPr>
      <w:spacing w:before="160"/>
      <w:jc w:val="center"/>
    </w:pPr>
    <w:rPr>
      <w:i/>
      <w:iCs/>
      <w:color w:val="404040" w:themeColor="text1" w:themeTint="BF"/>
    </w:rPr>
  </w:style>
  <w:style w:type="character" w:customStyle="1" w:styleId="QuoteChar">
    <w:name w:val="Quote Char"/>
    <w:basedOn w:val="DefaultParagraphFont"/>
    <w:link w:val="Quote"/>
    <w:uiPriority w:val="29"/>
    <w:rsid w:val="00BA47A2"/>
    <w:rPr>
      <w:i/>
      <w:iCs/>
      <w:color w:val="404040" w:themeColor="text1" w:themeTint="BF"/>
    </w:rPr>
  </w:style>
  <w:style w:type="paragraph" w:styleId="ListParagraph">
    <w:name w:val="List Paragraph"/>
    <w:basedOn w:val="Normal"/>
    <w:uiPriority w:val="34"/>
    <w:qFormat/>
    <w:rsid w:val="00BA47A2"/>
    <w:pPr>
      <w:ind w:left="720"/>
      <w:contextualSpacing/>
    </w:pPr>
  </w:style>
  <w:style w:type="character" w:styleId="IntenseEmphasis">
    <w:name w:val="Intense Emphasis"/>
    <w:basedOn w:val="DefaultParagraphFont"/>
    <w:uiPriority w:val="21"/>
    <w:qFormat/>
    <w:rsid w:val="00BA47A2"/>
    <w:rPr>
      <w:i/>
      <w:iCs/>
      <w:color w:val="0F4761" w:themeColor="accent1" w:themeShade="BF"/>
    </w:rPr>
  </w:style>
  <w:style w:type="paragraph" w:styleId="IntenseQuote">
    <w:name w:val="Intense Quote"/>
    <w:basedOn w:val="Normal"/>
    <w:next w:val="Normal"/>
    <w:link w:val="IntenseQuoteChar"/>
    <w:uiPriority w:val="30"/>
    <w:qFormat/>
    <w:rsid w:val="00BA4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7A2"/>
    <w:rPr>
      <w:i/>
      <w:iCs/>
      <w:color w:val="0F4761" w:themeColor="accent1" w:themeShade="BF"/>
    </w:rPr>
  </w:style>
  <w:style w:type="character" w:styleId="IntenseReference">
    <w:name w:val="Intense Reference"/>
    <w:basedOn w:val="DefaultParagraphFont"/>
    <w:uiPriority w:val="32"/>
    <w:qFormat/>
    <w:rsid w:val="00BA47A2"/>
    <w:rPr>
      <w:b/>
      <w:bCs/>
      <w:smallCaps/>
      <w:color w:val="0F4761" w:themeColor="accent1" w:themeShade="BF"/>
      <w:spacing w:val="5"/>
    </w:rPr>
  </w:style>
  <w:style w:type="paragraph" w:styleId="Header">
    <w:name w:val="header"/>
    <w:basedOn w:val="Normal"/>
    <w:link w:val="HeaderChar"/>
    <w:uiPriority w:val="99"/>
    <w:unhideWhenUsed/>
    <w:rsid w:val="00BA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7A2"/>
  </w:style>
  <w:style w:type="paragraph" w:styleId="Footer">
    <w:name w:val="footer"/>
    <w:basedOn w:val="Normal"/>
    <w:link w:val="FooterChar"/>
    <w:uiPriority w:val="99"/>
    <w:unhideWhenUsed/>
    <w:rsid w:val="00BA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A2"/>
  </w:style>
  <w:style w:type="character" w:styleId="Hyperlink">
    <w:name w:val="Hyperlink"/>
    <w:basedOn w:val="DefaultParagraphFont"/>
    <w:uiPriority w:val="99"/>
    <w:unhideWhenUsed/>
    <w:rsid w:val="002B55DA"/>
    <w:rPr>
      <w:color w:val="467886" w:themeColor="hyperlink"/>
      <w:u w:val="single"/>
    </w:rPr>
  </w:style>
  <w:style w:type="character" w:styleId="UnresolvedMention">
    <w:name w:val="Unresolved Mention"/>
    <w:basedOn w:val="DefaultParagraphFont"/>
    <w:uiPriority w:val="99"/>
    <w:semiHidden/>
    <w:unhideWhenUsed/>
    <w:rsid w:val="002B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len.201800051" TargetMode="External"/><Relationship Id="rId13" Type="http://schemas.openxmlformats.org/officeDocument/2006/relationships/hyperlink" Target="https://pmc.ncbi.nlm.nih.gov/articles/PMC50295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researchgate.net/publication/225441088_Hurricane_impacts_on_coastal_ecosystem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researchgate.net/publication/228375141_Eutrophication_of_Chesapeake_Bay_Historical_Trends_and_Ecological_Interactions" TargetMode="External"/><Relationship Id="rId5" Type="http://schemas.openxmlformats.org/officeDocument/2006/relationships/endnotes" Target="endnotes.xml"/><Relationship Id="rId15" Type="http://schemas.openxmlformats.org/officeDocument/2006/relationships/hyperlink" Target="https://www.chesapeakebay.net/files/documents/1-s2.0-S0043135420309428-main.pdf" TargetMode="External"/><Relationship Id="rId10" Type="http://schemas.openxmlformats.org/officeDocument/2006/relationships/hyperlink" Target="https://nepis.epa.gov/" TargetMode="External"/><Relationship Id="rId4" Type="http://schemas.openxmlformats.org/officeDocument/2006/relationships/footnotes" Target="footnotes.xml"/><Relationship Id="rId9" Type="http://schemas.openxmlformats.org/officeDocument/2006/relationships/hyperlink" Target="https://nepis.epa.gov/" TargetMode="External"/><Relationship Id="rId14" Type="http://schemas.openxmlformats.org/officeDocument/2006/relationships/hyperlink" Target="https://www.nsf.gov/news/two-decades-hurricanes-change-coastal-ec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Swann</dc:creator>
  <cp:keywords/>
  <dc:description/>
  <cp:lastModifiedBy>Hunter Swann</cp:lastModifiedBy>
  <cp:revision>1</cp:revision>
  <dcterms:created xsi:type="dcterms:W3CDTF">2025-12-07T18:47:00Z</dcterms:created>
  <dcterms:modified xsi:type="dcterms:W3CDTF">2025-12-07T19:52:00Z</dcterms:modified>
</cp:coreProperties>
</file>