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James Applegate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1/16/24</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Journal Entry #1</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Cybersecurity has emerged as a critical field in today's interconnected digital landscape, and my career aspirations are intricately tied to this dynamic and ever-evolving domain. Within this expansive realm, I am particularly drawn to roles that involve monitoring and investigating, with a specialized focus on cybersecurity operations. My passion for this field aligns seamlessly with the NICE Workforce Framework, a comprehensive guide delineating various cybersecurity roles and skills.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Specifically, I envision myself delving into areas related to cybersecurity operations within the framework. The prospect of actively monitoring and safeguarding critical systems, especially within the military sector, resonates deeply with my career goals. The framework's delineation of categories such as "Protect and Defend" and "Analyze" perfectly encapsulates my aspirations, as they underscore the essence of what I aim to achieve in my professional journey.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essence, I desire to utilize my expertise and knowledge to actively detect and analyze potential threats, investigate security incidents, and implement robust protective measures to safeguard sensitive information. Contributing to the security and resilience of military systems holds particular allure for me, as it represents a fusion of my passion for cybersecurity with a sense of purpose in serving and protecting critical national assets.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Conversely, while I recognize the importance of administrative tasks and policy development within the cybersecurity landscape, my true passion lies in hands-on monitoring, analysis, and defense against cyber threats. Therefore, areas within the field that are more administrative or policy-focused are less appealing, as they deviate from the hands-on, proactive approach that drives my professional ambitions.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conclusion, my career aspirations in cybersecurity are deeply rooted in monitoring and investigating, with a specific emphasis on cybersecurity operations, particularly within the context of safeguarding military systems. The NICE Workforce Framework serves as a guiding beacon, reflecting the alignment between my aspirations and the diverse skill sets required within the cybersecurity domain. As I embark on this professional journey, I am committed to leveraging my expertise to contribute meaningfully to the security and resilience of critical systems while remaining steadfast in my dedication to hands-on monitoring, analysis, and defense against cyber threats.</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