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297C" w14:textId="77777777" w:rsidR="00DC4B6C" w:rsidRDefault="00DC4B6C" w:rsidP="00EF7F2D">
      <w:pPr>
        <w:pStyle w:val="BulletList"/>
        <w:numPr>
          <w:ilvl w:val="0"/>
          <w:numId w:val="0"/>
        </w:numPr>
        <w:spacing w:line="240" w:lineRule="auto"/>
        <w:rPr>
          <w:rFonts w:ascii="Cambria" w:hAnsi="Cambria"/>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270"/>
      </w:tblGrid>
      <w:tr w:rsidR="005C2191" w:rsidRPr="004E6645" w14:paraId="07330BB8" w14:textId="77777777" w:rsidTr="0047021D">
        <w:tc>
          <w:tcPr>
            <w:tcW w:w="9270" w:type="dxa"/>
            <w:shd w:val="clear" w:color="auto" w:fill="auto"/>
          </w:tcPr>
          <w:p w14:paraId="12BD675D" w14:textId="029CAD2C" w:rsidR="005C2191" w:rsidRPr="004E6645" w:rsidRDefault="005C2191" w:rsidP="00F11025">
            <w:pPr>
              <w:pStyle w:val="Normal1"/>
              <w:pBdr>
                <w:top w:val="nil"/>
                <w:left w:val="nil"/>
                <w:bottom w:val="nil"/>
                <w:right w:val="nil"/>
                <w:between w:val="nil"/>
              </w:pBdr>
              <w:spacing w:line="240" w:lineRule="auto"/>
              <w:rPr>
                <w:rFonts w:ascii="Times New Roman" w:eastAsia="Calibri" w:hAnsi="Times New Roman" w:cs="Times New Roman"/>
                <w:b/>
                <w:sz w:val="24"/>
                <w:szCs w:val="24"/>
              </w:rPr>
            </w:pPr>
            <w:r w:rsidRPr="004E6645">
              <w:rPr>
                <w:rFonts w:ascii="Times New Roman" w:eastAsia="Calibri" w:hAnsi="Times New Roman" w:cs="Times New Roman"/>
                <w:b/>
                <w:sz w:val="24"/>
                <w:szCs w:val="24"/>
              </w:rPr>
              <w:t xml:space="preserve">Title of project: </w:t>
            </w:r>
            <w:r w:rsidR="0031606C">
              <w:rPr>
                <w:rFonts w:ascii="Times New Roman" w:eastAsia="Calibri" w:hAnsi="Times New Roman" w:cs="Times New Roman"/>
                <w:b/>
                <w:sz w:val="24"/>
                <w:szCs w:val="24"/>
              </w:rPr>
              <w:t>A Case-Control Study of Mold and Health Issues at Old Dominion University</w:t>
            </w:r>
          </w:p>
        </w:tc>
      </w:tr>
      <w:tr w:rsidR="005C2191" w:rsidRPr="004E6645" w14:paraId="7C152632" w14:textId="77777777" w:rsidTr="0047021D">
        <w:tc>
          <w:tcPr>
            <w:tcW w:w="9270" w:type="dxa"/>
            <w:shd w:val="clear" w:color="auto" w:fill="auto"/>
          </w:tcPr>
          <w:p w14:paraId="4C553669" w14:textId="10016EEE" w:rsidR="005C2191" w:rsidRPr="004E6645" w:rsidRDefault="005C2191" w:rsidP="00F11025">
            <w:pPr>
              <w:pStyle w:val="Normal1"/>
              <w:spacing w:line="240" w:lineRule="auto"/>
              <w:rPr>
                <w:rFonts w:ascii="Times New Roman" w:eastAsia="Calibri" w:hAnsi="Times New Roman" w:cs="Times New Roman"/>
                <w:b/>
                <w:color w:val="999999"/>
                <w:sz w:val="24"/>
                <w:szCs w:val="24"/>
              </w:rPr>
            </w:pPr>
            <w:r w:rsidRPr="004E6645">
              <w:rPr>
                <w:rFonts w:ascii="Times New Roman" w:eastAsia="Calibri" w:hAnsi="Times New Roman" w:cs="Times New Roman"/>
                <w:b/>
                <w:sz w:val="24"/>
                <w:szCs w:val="24"/>
              </w:rPr>
              <w:t xml:space="preserve">Investigator: </w:t>
            </w:r>
            <w:r w:rsidR="0031606C">
              <w:rPr>
                <w:rFonts w:ascii="Times New Roman" w:eastAsia="Calibri" w:hAnsi="Times New Roman" w:cs="Times New Roman"/>
                <w:b/>
                <w:sz w:val="24"/>
                <w:szCs w:val="24"/>
              </w:rPr>
              <w:t>Jeanette Foxx</w:t>
            </w:r>
          </w:p>
        </w:tc>
      </w:tr>
      <w:tr w:rsidR="005C2191" w:rsidRPr="004E6645" w14:paraId="43AC7771" w14:textId="77777777" w:rsidTr="0047021D">
        <w:tc>
          <w:tcPr>
            <w:tcW w:w="9270" w:type="dxa"/>
            <w:shd w:val="clear" w:color="auto" w:fill="auto"/>
          </w:tcPr>
          <w:p w14:paraId="52673404" w14:textId="220953F0" w:rsidR="005C2191" w:rsidRDefault="005C2191" w:rsidP="00F11025">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r w:rsidRPr="004E6645">
              <w:rPr>
                <w:rFonts w:ascii="Times New Roman" w:eastAsia="Calibri" w:hAnsi="Times New Roman" w:cs="Times New Roman"/>
                <w:b/>
                <w:sz w:val="24"/>
                <w:szCs w:val="24"/>
              </w:rPr>
              <w:t>Introduction:</w:t>
            </w:r>
          </w:p>
          <w:p w14:paraId="5AE5EFDC" w14:textId="422FA450" w:rsidR="0031606C" w:rsidRDefault="0031606C" w:rsidP="00F11025">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p>
          <w:p w14:paraId="38BF5F4A" w14:textId="5119E25B" w:rsidR="0031606C" w:rsidRDefault="00D531D7" w:rsidP="007C1EA3">
            <w:pPr>
              <w:pStyle w:val="Normal1"/>
              <w:pBdr>
                <w:top w:val="nil"/>
                <w:left w:val="nil"/>
                <w:bottom w:val="nil"/>
                <w:right w:val="nil"/>
                <w:between w:val="nil"/>
              </w:pBdr>
              <w:spacing w:line="480" w:lineRule="auto"/>
              <w:ind w:firstLine="69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Mold is a group of fungi commonly found on biological or wet materials. There are thousands of species of mold which are adapted to various environments.  Most molds occur naturally outdoors but may become an issue indoors if there are moist conditions such as after a flood or leak.  This is especially a concern in flood-prone areas, where wet indoor areas must be remediated immediately to prevent mold growth.  Many studies have associated indoor mold contamination with an increased risk of asthma and respiratory illness (Sinclair et. al., 2018).  A study performed in Manitoba, Canada showed a significant association between a common indoor mold species, </w:t>
            </w:r>
            <w:r>
              <w:rPr>
                <w:rFonts w:ascii="Times New Roman" w:eastAsia="Calibri" w:hAnsi="Times New Roman" w:cs="Times New Roman"/>
                <w:bCs/>
                <w:i/>
                <w:iCs/>
                <w:sz w:val="24"/>
                <w:szCs w:val="24"/>
              </w:rPr>
              <w:t>Cladosporium</w:t>
            </w:r>
            <w:r>
              <w:rPr>
                <w:rFonts w:ascii="Times New Roman" w:eastAsia="Calibri" w:hAnsi="Times New Roman" w:cs="Times New Roman"/>
                <w:bCs/>
                <w:sz w:val="24"/>
                <w:szCs w:val="24"/>
              </w:rPr>
              <w:t>, and children’s asthma in combination with persistent colds (</w:t>
            </w:r>
            <w:proofErr w:type="spellStart"/>
            <w:r>
              <w:rPr>
                <w:rFonts w:ascii="Times New Roman" w:eastAsia="Calibri" w:hAnsi="Times New Roman" w:cs="Times New Roman"/>
                <w:bCs/>
                <w:sz w:val="24"/>
                <w:szCs w:val="24"/>
              </w:rPr>
              <w:t>Polyzoi</w:t>
            </w:r>
            <w:proofErr w:type="spellEnd"/>
            <w:r w:rsidR="00144A1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et. al., 2015).</w:t>
            </w:r>
          </w:p>
          <w:p w14:paraId="690D9B9E" w14:textId="780ECC12" w:rsidR="00144A17" w:rsidRDefault="00144A17" w:rsidP="007C1EA3">
            <w:pPr>
              <w:pStyle w:val="Normal1"/>
              <w:pBdr>
                <w:top w:val="nil"/>
                <w:left w:val="nil"/>
                <w:bottom w:val="nil"/>
                <w:right w:val="nil"/>
                <w:between w:val="nil"/>
              </w:pBdr>
              <w:spacing w:line="480" w:lineRule="auto"/>
              <w:ind w:firstLine="691"/>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At Old Dominion University (ODU), the office of Environmental Health &amp; Safety (EH&amp;S) administers </w:t>
            </w:r>
            <w:r w:rsidR="0047021D">
              <w:rPr>
                <w:rFonts w:ascii="Times New Roman" w:eastAsia="Calibri" w:hAnsi="Times New Roman" w:cs="Times New Roman"/>
                <w:bCs/>
                <w:sz w:val="24"/>
                <w:szCs w:val="24"/>
              </w:rPr>
              <w:t>the</w:t>
            </w:r>
            <w:r>
              <w:rPr>
                <w:rFonts w:ascii="Times New Roman" w:eastAsia="Calibri" w:hAnsi="Times New Roman" w:cs="Times New Roman"/>
                <w:bCs/>
                <w:sz w:val="24"/>
                <w:szCs w:val="24"/>
              </w:rPr>
              <w:t xml:space="preserve"> Mold Management Plan to ensure that indoor air quality is safe for staff and students on campus.  </w:t>
            </w:r>
            <w:r w:rsidR="000802E2">
              <w:rPr>
                <w:rFonts w:ascii="Times New Roman" w:eastAsia="Calibri" w:hAnsi="Times New Roman" w:cs="Times New Roman"/>
                <w:bCs/>
                <w:sz w:val="24"/>
                <w:szCs w:val="24"/>
              </w:rPr>
              <w:t xml:space="preserve">Everett </w:t>
            </w:r>
            <w:r>
              <w:rPr>
                <w:rFonts w:ascii="Times New Roman" w:eastAsia="Calibri" w:hAnsi="Times New Roman" w:cs="Times New Roman"/>
                <w:bCs/>
                <w:sz w:val="24"/>
                <w:szCs w:val="24"/>
              </w:rPr>
              <w:t xml:space="preserve">Jones et. al. (2015) suggest that strong indoor air quality policies and practices result in healthier indoor school environments and improved student and staff performance.  All reports of indoor air quality concerns at ODU are sent to the EH&amp;S Office for investigation.  Upon visual inspection of the reported area, temperature and humidity readings are </w:t>
            </w:r>
            <w:r w:rsidR="0047021D">
              <w:rPr>
                <w:rFonts w:ascii="Times New Roman" w:eastAsia="Calibri" w:hAnsi="Times New Roman" w:cs="Times New Roman"/>
                <w:bCs/>
                <w:sz w:val="24"/>
                <w:szCs w:val="24"/>
              </w:rPr>
              <w:t>acquired</w:t>
            </w:r>
            <w:r>
              <w:rPr>
                <w:rFonts w:ascii="Times New Roman" w:eastAsia="Calibri" w:hAnsi="Times New Roman" w:cs="Times New Roman"/>
                <w:bCs/>
                <w:sz w:val="24"/>
                <w:szCs w:val="24"/>
              </w:rPr>
              <w:t xml:space="preserve">.  If mold is found, or if conditions are conducive to mold growth, further action may be </w:t>
            </w:r>
            <w:r w:rsidR="0047021D">
              <w:rPr>
                <w:rFonts w:ascii="Times New Roman" w:eastAsia="Calibri" w:hAnsi="Times New Roman" w:cs="Times New Roman"/>
                <w:bCs/>
                <w:sz w:val="24"/>
                <w:szCs w:val="24"/>
              </w:rPr>
              <w:t>performed</w:t>
            </w:r>
            <w:r>
              <w:rPr>
                <w:rFonts w:ascii="Times New Roman" w:eastAsia="Calibri" w:hAnsi="Times New Roman" w:cs="Times New Roman"/>
                <w:bCs/>
                <w:sz w:val="24"/>
                <w:szCs w:val="24"/>
              </w:rPr>
              <w:t>.  This includes air sampling for mold, cleaning, and possibly relocation of staff or students.</w:t>
            </w:r>
          </w:p>
          <w:p w14:paraId="6DBFC7F7" w14:textId="5A0621FF" w:rsidR="00144A17" w:rsidRPr="00D531D7" w:rsidRDefault="00144A17" w:rsidP="007C1EA3">
            <w:pPr>
              <w:pStyle w:val="Normal1"/>
              <w:pBdr>
                <w:top w:val="nil"/>
                <w:left w:val="nil"/>
                <w:bottom w:val="nil"/>
                <w:right w:val="nil"/>
                <w:between w:val="nil"/>
              </w:pBdr>
              <w:spacing w:line="480" w:lineRule="auto"/>
              <w:ind w:firstLine="691"/>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For this study, reports of mold made by students, staff, and faculty on ODU’s Norfolk campus were analyzed for association to reported health issues.  This type of study has never been performed to assess the mold management program at ODU.  </w:t>
            </w:r>
            <w:r w:rsidR="000C4E70">
              <w:rPr>
                <w:rFonts w:ascii="Times New Roman" w:eastAsia="Calibri" w:hAnsi="Times New Roman" w:cs="Times New Roman"/>
                <w:bCs/>
                <w:sz w:val="24"/>
                <w:szCs w:val="24"/>
              </w:rPr>
              <w:t xml:space="preserve">The research question described in this study is: Is mold exposure related to reported health issues from students, faculty, and staff on ODU’s Norfolk campus? </w:t>
            </w:r>
            <w:r>
              <w:rPr>
                <w:rFonts w:ascii="Times New Roman" w:eastAsia="Calibri" w:hAnsi="Times New Roman" w:cs="Times New Roman"/>
                <w:bCs/>
                <w:sz w:val="24"/>
                <w:szCs w:val="24"/>
              </w:rPr>
              <w:t>The purpose of this research is to determine if indoor mold is related to reports of sickness by students, faculty, and staff of ODU’s Norfolk campus.</w:t>
            </w:r>
          </w:p>
          <w:p w14:paraId="005478D7" w14:textId="77777777" w:rsidR="005C2191" w:rsidRPr="004E6645" w:rsidRDefault="005C2191" w:rsidP="00144A17">
            <w:pPr>
              <w:pStyle w:val="Normal1"/>
              <w:spacing w:line="240" w:lineRule="auto"/>
              <w:rPr>
                <w:rFonts w:ascii="Times New Roman" w:eastAsia="Calibri" w:hAnsi="Times New Roman" w:cs="Times New Roman"/>
                <w:b/>
                <w:sz w:val="24"/>
                <w:szCs w:val="24"/>
              </w:rPr>
            </w:pPr>
          </w:p>
        </w:tc>
      </w:tr>
      <w:tr w:rsidR="005C2191" w:rsidRPr="004E6645" w14:paraId="217F0209" w14:textId="77777777" w:rsidTr="0047021D">
        <w:tc>
          <w:tcPr>
            <w:tcW w:w="9270" w:type="dxa"/>
            <w:shd w:val="clear" w:color="auto" w:fill="auto"/>
          </w:tcPr>
          <w:p w14:paraId="4A6F11C1" w14:textId="77777777" w:rsidR="005C2191" w:rsidRPr="004E6645" w:rsidRDefault="005C2191" w:rsidP="00F11025">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r w:rsidRPr="004E6645">
              <w:rPr>
                <w:rFonts w:ascii="Times New Roman" w:eastAsia="Calibri" w:hAnsi="Times New Roman" w:cs="Times New Roman"/>
                <w:b/>
                <w:sz w:val="24"/>
                <w:szCs w:val="24"/>
              </w:rPr>
              <w:lastRenderedPageBreak/>
              <w:t>Innovation:</w:t>
            </w:r>
          </w:p>
          <w:p w14:paraId="7151EF20" w14:textId="77777777" w:rsidR="00144A17" w:rsidRDefault="00144A17" w:rsidP="00F11025">
            <w:pPr>
              <w:pStyle w:val="Normal1"/>
              <w:spacing w:line="240" w:lineRule="auto"/>
              <w:ind w:left="450" w:hanging="450"/>
              <w:rPr>
                <w:rFonts w:ascii="Times New Roman" w:eastAsia="Calibri" w:hAnsi="Times New Roman" w:cs="Times New Roman"/>
                <w:bCs/>
                <w:sz w:val="24"/>
                <w:szCs w:val="24"/>
              </w:rPr>
            </w:pPr>
          </w:p>
          <w:p w14:paraId="51CFE42B" w14:textId="3E5B6C8A" w:rsidR="005C2191" w:rsidRPr="000C4E70" w:rsidRDefault="00144A17" w:rsidP="007C1EA3">
            <w:pPr>
              <w:pStyle w:val="Normal1"/>
              <w:spacing w:line="480" w:lineRule="auto"/>
              <w:ind w:firstLine="778"/>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This data will be used to help the EH&amp;S office at ODU </w:t>
            </w:r>
            <w:r w:rsidR="000C4E70">
              <w:rPr>
                <w:rFonts w:ascii="Times New Roman" w:eastAsia="Calibri" w:hAnsi="Times New Roman" w:cs="Times New Roman"/>
                <w:bCs/>
                <w:sz w:val="24"/>
                <w:szCs w:val="24"/>
              </w:rPr>
              <w:t>determine</w:t>
            </w:r>
            <w:r>
              <w:rPr>
                <w:rFonts w:ascii="Times New Roman" w:eastAsia="Calibri" w:hAnsi="Times New Roman" w:cs="Times New Roman"/>
                <w:bCs/>
                <w:sz w:val="24"/>
                <w:szCs w:val="24"/>
              </w:rPr>
              <w:t xml:space="preserve"> if the mold management program is sufficient or if additional actions need to be taken to ensure that students and staff are safe from the effects of indoor mold </w:t>
            </w:r>
            <w:r w:rsidR="000C4E70">
              <w:rPr>
                <w:rFonts w:ascii="Times New Roman" w:eastAsia="Calibri" w:hAnsi="Times New Roman" w:cs="Times New Roman"/>
                <w:bCs/>
                <w:sz w:val="24"/>
                <w:szCs w:val="24"/>
              </w:rPr>
              <w:t>contamination</w:t>
            </w:r>
            <w:r>
              <w:rPr>
                <w:rFonts w:ascii="Times New Roman" w:eastAsia="Calibri" w:hAnsi="Times New Roman" w:cs="Times New Roman"/>
                <w:bCs/>
                <w:sz w:val="24"/>
                <w:szCs w:val="24"/>
              </w:rPr>
              <w:t>.</w:t>
            </w:r>
            <w:r w:rsidR="000C4E70">
              <w:rPr>
                <w:rFonts w:ascii="Times New Roman" w:eastAsia="Calibri" w:hAnsi="Times New Roman" w:cs="Times New Roman"/>
                <w:b/>
                <w:color w:val="999999"/>
                <w:sz w:val="24"/>
                <w:szCs w:val="24"/>
              </w:rPr>
              <w:t xml:space="preserve"> </w:t>
            </w:r>
            <w:r w:rsidR="000C4E70">
              <w:rPr>
                <w:rFonts w:ascii="Times New Roman" w:eastAsia="Calibri" w:hAnsi="Times New Roman" w:cs="Times New Roman"/>
                <w:bCs/>
                <w:sz w:val="24"/>
                <w:szCs w:val="24"/>
              </w:rPr>
              <w:t>Additional actions may include HVAC servicing/replacement, additional indoor air quality assessment, more proactive evaluations of mold in affected buildings, etc. This study may contribute to analys</w:t>
            </w:r>
            <w:r w:rsidR="007C1EA3">
              <w:rPr>
                <w:rFonts w:ascii="Times New Roman" w:eastAsia="Calibri" w:hAnsi="Times New Roman" w:cs="Times New Roman"/>
                <w:bCs/>
                <w:sz w:val="24"/>
                <w:szCs w:val="24"/>
              </w:rPr>
              <w:t>e</w:t>
            </w:r>
            <w:r w:rsidR="000C4E70">
              <w:rPr>
                <w:rFonts w:ascii="Times New Roman" w:eastAsia="Calibri" w:hAnsi="Times New Roman" w:cs="Times New Roman"/>
                <w:bCs/>
                <w:sz w:val="24"/>
                <w:szCs w:val="24"/>
              </w:rPr>
              <w:t>s of the association between mold exposure and health issues</w:t>
            </w:r>
            <w:r w:rsidR="007C1EA3">
              <w:rPr>
                <w:rFonts w:ascii="Times New Roman" w:eastAsia="Calibri" w:hAnsi="Times New Roman" w:cs="Times New Roman"/>
                <w:bCs/>
                <w:sz w:val="24"/>
                <w:szCs w:val="24"/>
              </w:rPr>
              <w:t>, which continue to be studied.</w:t>
            </w:r>
          </w:p>
          <w:p w14:paraId="0143CF94" w14:textId="577F82F5" w:rsidR="000C4E70" w:rsidRPr="004E6645" w:rsidRDefault="000C4E70" w:rsidP="000C4E70">
            <w:pPr>
              <w:pStyle w:val="Normal1"/>
              <w:spacing w:line="240" w:lineRule="auto"/>
              <w:ind w:firstLine="780"/>
              <w:rPr>
                <w:rFonts w:ascii="Times New Roman" w:eastAsia="Calibri" w:hAnsi="Times New Roman" w:cs="Times New Roman"/>
                <w:b/>
                <w:color w:val="999999"/>
                <w:sz w:val="24"/>
                <w:szCs w:val="24"/>
              </w:rPr>
            </w:pPr>
          </w:p>
        </w:tc>
      </w:tr>
      <w:tr w:rsidR="005C2191" w:rsidRPr="004E6645" w14:paraId="0D4CB371" w14:textId="77777777" w:rsidTr="0047021D">
        <w:tc>
          <w:tcPr>
            <w:tcW w:w="9270" w:type="dxa"/>
            <w:shd w:val="clear" w:color="auto" w:fill="auto"/>
          </w:tcPr>
          <w:p w14:paraId="207DDFA0" w14:textId="0C45394C" w:rsidR="005C2191" w:rsidRDefault="005C2191" w:rsidP="00F11025">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r w:rsidRPr="004E6645">
              <w:rPr>
                <w:rFonts w:ascii="Times New Roman" w:eastAsia="Calibri" w:hAnsi="Times New Roman" w:cs="Times New Roman"/>
                <w:b/>
                <w:sz w:val="24"/>
                <w:szCs w:val="24"/>
              </w:rPr>
              <w:t>Approach/Research Strategy:</w:t>
            </w:r>
          </w:p>
          <w:p w14:paraId="56B3C7E3" w14:textId="545FC638" w:rsidR="000C4E70" w:rsidRDefault="000C4E70" w:rsidP="00F11025">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p>
          <w:p w14:paraId="031DDEA0" w14:textId="7EA7D236" w:rsidR="00B2237C" w:rsidRDefault="007C1EA3" w:rsidP="0047021D">
            <w:pPr>
              <w:spacing w:after="0" w:line="480" w:lineRule="auto"/>
              <w:ind w:firstLine="690"/>
              <w:rPr>
                <w:rFonts w:ascii="Arial" w:hAnsi="Arial" w:cs="Arial"/>
                <w:sz w:val="24"/>
                <w:szCs w:val="24"/>
              </w:rPr>
            </w:pPr>
            <w:r w:rsidRPr="007C1EA3">
              <w:rPr>
                <w:rFonts w:ascii="Times New Roman" w:eastAsia="Calibri" w:hAnsi="Times New Roman" w:cs="Times New Roman"/>
                <w:bCs/>
                <w:sz w:val="24"/>
                <w:szCs w:val="24"/>
              </w:rPr>
              <w:t>This research is a retrospective case-control study</w:t>
            </w:r>
            <w:r w:rsidR="0047021D">
              <w:rPr>
                <w:rFonts w:ascii="Times New Roman" w:eastAsia="Calibri" w:hAnsi="Times New Roman" w:cs="Times New Roman"/>
                <w:bCs/>
                <w:sz w:val="24"/>
                <w:szCs w:val="24"/>
              </w:rPr>
              <w:t xml:space="preserve"> that </w:t>
            </w:r>
            <w:r w:rsidRPr="007C1EA3">
              <w:rPr>
                <w:rFonts w:ascii="Times New Roman" w:hAnsi="Times New Roman" w:cs="Times New Roman"/>
                <w:sz w:val="24"/>
                <w:szCs w:val="24"/>
              </w:rPr>
              <w:t xml:space="preserve">will analyze secondary data composed of a sample population of Old Dominion University students, faculty, and staff who have self-reported indoor air quality concerns to the </w:t>
            </w:r>
            <w:r w:rsidR="0047021D">
              <w:rPr>
                <w:rFonts w:ascii="Times New Roman" w:hAnsi="Times New Roman" w:cs="Times New Roman"/>
                <w:sz w:val="24"/>
                <w:szCs w:val="24"/>
              </w:rPr>
              <w:t>EH&amp;S</w:t>
            </w:r>
            <w:r w:rsidRPr="007C1EA3">
              <w:rPr>
                <w:rFonts w:ascii="Times New Roman" w:hAnsi="Times New Roman" w:cs="Times New Roman"/>
                <w:sz w:val="24"/>
                <w:szCs w:val="24"/>
              </w:rPr>
              <w:t xml:space="preserve"> </w:t>
            </w:r>
            <w:r w:rsidR="0047021D">
              <w:rPr>
                <w:rFonts w:ascii="Times New Roman" w:hAnsi="Times New Roman" w:cs="Times New Roman"/>
                <w:sz w:val="24"/>
                <w:szCs w:val="24"/>
              </w:rPr>
              <w:t>o</w:t>
            </w:r>
            <w:r w:rsidRPr="007C1EA3">
              <w:rPr>
                <w:rFonts w:ascii="Times New Roman" w:hAnsi="Times New Roman" w:cs="Times New Roman"/>
                <w:sz w:val="24"/>
                <w:szCs w:val="24"/>
              </w:rPr>
              <w:t xml:space="preserve">ffice.  Inclusion criteria </w:t>
            </w:r>
            <w:r w:rsidR="00B2237C" w:rsidRPr="007C1EA3">
              <w:rPr>
                <w:rFonts w:ascii="Times New Roman" w:hAnsi="Times New Roman" w:cs="Times New Roman"/>
                <w:sz w:val="24"/>
                <w:szCs w:val="24"/>
              </w:rPr>
              <w:t>include</w:t>
            </w:r>
            <w:r w:rsidR="00B2237C">
              <w:rPr>
                <w:rFonts w:ascii="Times New Roman" w:hAnsi="Times New Roman" w:cs="Times New Roman"/>
                <w:sz w:val="24"/>
                <w:szCs w:val="24"/>
              </w:rPr>
              <w:t xml:space="preserve">, the </w:t>
            </w:r>
            <w:r w:rsidRPr="007C1EA3">
              <w:rPr>
                <w:rFonts w:ascii="Times New Roman" w:hAnsi="Times New Roman" w:cs="Times New Roman"/>
                <w:sz w:val="24"/>
                <w:szCs w:val="24"/>
              </w:rPr>
              <w:t xml:space="preserve">report must have been made between January 2015 and December 2019, the report must include a location on the Norfolk campus, and finally the report must include suspected mold.  Exclusion criteria includes reports made by students, faculty, and staff at </w:t>
            </w:r>
            <w:r w:rsidRPr="007C1EA3">
              <w:rPr>
                <w:rFonts w:ascii="Times New Roman" w:hAnsi="Times New Roman" w:cs="Times New Roman"/>
                <w:sz w:val="24"/>
                <w:szCs w:val="24"/>
              </w:rPr>
              <w:lastRenderedPageBreak/>
              <w:t>locations other than the Norfolk campus, and reports that include health concerns other than mold exposure (e.g., asbestos, lead, etc.).</w:t>
            </w:r>
            <w:r w:rsidR="00B2237C">
              <w:rPr>
                <w:rFonts w:ascii="Arial" w:hAnsi="Arial" w:cs="Arial"/>
                <w:sz w:val="24"/>
                <w:szCs w:val="24"/>
              </w:rPr>
              <w:t xml:space="preserve"> </w:t>
            </w:r>
          </w:p>
          <w:p w14:paraId="1A4C084D" w14:textId="4FF23513" w:rsidR="00B2237C" w:rsidRDefault="00B2237C" w:rsidP="00B2237C">
            <w:pPr>
              <w:spacing w:after="0" w:line="480" w:lineRule="auto"/>
              <w:ind w:firstLine="690"/>
              <w:rPr>
                <w:rFonts w:ascii="Times New Roman" w:hAnsi="Times New Roman" w:cs="Times New Roman"/>
                <w:sz w:val="24"/>
                <w:szCs w:val="24"/>
              </w:rPr>
            </w:pPr>
            <w:r w:rsidRPr="00B2237C">
              <w:rPr>
                <w:rFonts w:ascii="Times New Roman" w:hAnsi="Times New Roman" w:cs="Times New Roman"/>
                <w:sz w:val="24"/>
                <w:szCs w:val="24"/>
              </w:rPr>
              <w:t xml:space="preserve">In order to acquire a large sample size, all reports of indoor air quality assessments due to suspected mold that were documented between January 2015 and December 2019 were sampled in this research.  Assessments are documented as Microsoft Word reports that detail self-reported indoor air quality concerns from ODU students, faculty, and staff.  For this case-control study, cases will be those individuals who reported health concerns due to suspected mold in their workspace or living space.  Controls are those individuals who did not report health concerns, but suspected mold in their workspace or living space. </w:t>
            </w:r>
          </w:p>
          <w:p w14:paraId="6439C158" w14:textId="1D012B0D" w:rsidR="00B2237C" w:rsidRDefault="00B2237C" w:rsidP="00B2237C">
            <w:pPr>
              <w:spacing w:after="0" w:line="480" w:lineRule="auto"/>
              <w:ind w:firstLine="690"/>
              <w:rPr>
                <w:rFonts w:ascii="Times New Roman" w:hAnsi="Times New Roman" w:cs="Times New Roman"/>
                <w:sz w:val="24"/>
                <w:szCs w:val="24"/>
              </w:rPr>
            </w:pPr>
            <w:r w:rsidRPr="00B2237C">
              <w:rPr>
                <w:rFonts w:ascii="Times New Roman" w:hAnsi="Times New Roman" w:cs="Times New Roman"/>
                <w:sz w:val="24"/>
                <w:szCs w:val="24"/>
              </w:rPr>
              <w:t xml:space="preserve">Data collection will involve the use of secondary data.  Data sources are in the form of electronic Microsoft Word documents kept on file in the </w:t>
            </w:r>
            <w:r w:rsidR="002E0DAB">
              <w:rPr>
                <w:rFonts w:ascii="Times New Roman" w:hAnsi="Times New Roman" w:cs="Times New Roman"/>
                <w:sz w:val="24"/>
                <w:szCs w:val="24"/>
              </w:rPr>
              <w:t>EH&amp;S office</w:t>
            </w:r>
            <w:r w:rsidRPr="00B2237C">
              <w:rPr>
                <w:rFonts w:ascii="Times New Roman" w:hAnsi="Times New Roman" w:cs="Times New Roman"/>
                <w:sz w:val="24"/>
                <w:szCs w:val="24"/>
              </w:rPr>
              <w:t xml:space="preserve"> at </w:t>
            </w:r>
            <w:r w:rsidR="002E0DAB">
              <w:rPr>
                <w:rFonts w:ascii="Times New Roman" w:hAnsi="Times New Roman" w:cs="Times New Roman"/>
                <w:sz w:val="24"/>
                <w:szCs w:val="24"/>
              </w:rPr>
              <w:t>ODU</w:t>
            </w:r>
            <w:r w:rsidRPr="00B2237C">
              <w:rPr>
                <w:rFonts w:ascii="Times New Roman" w:hAnsi="Times New Roman" w:cs="Times New Roman"/>
                <w:sz w:val="24"/>
                <w:szCs w:val="24"/>
              </w:rPr>
              <w:t>.  Additional data will be collected from laboratory records of mold samples kept on file electronically in the EH</w:t>
            </w:r>
            <w:r w:rsidR="002E0DAB">
              <w:rPr>
                <w:rFonts w:ascii="Times New Roman" w:hAnsi="Times New Roman" w:cs="Times New Roman"/>
                <w:sz w:val="24"/>
                <w:szCs w:val="24"/>
              </w:rPr>
              <w:t>&amp;</w:t>
            </w:r>
            <w:r w:rsidRPr="00B2237C">
              <w:rPr>
                <w:rFonts w:ascii="Times New Roman" w:hAnsi="Times New Roman" w:cs="Times New Roman"/>
                <w:sz w:val="24"/>
                <w:szCs w:val="24"/>
              </w:rPr>
              <w:t xml:space="preserve">S file directory. Data collection will involve review of each report created and production of an Excel spreadsheet noting the following details:  date, location, contact person, type of complaint, findings, mold species (if tested), and action taken. For this research, the exposure is mold and the outcomes are health issues, such as sneezing, coughing, allergies, asthma, and respiratory or sinus infections.  Data collection will be used to determine how many individuals reported indoor air quality concerns due to suspected mold, and out of those individuals how many reported health issues due to suspected mold exposure.  Results will then be analyzed to determine how many reports resulted in finding mold in the location.  Demographic information will include the location and whether the contact person was a student, faculty, or staff member.  Other factors that will be analyzed as part of this research include the type of mold species found, seasonal trends, occurrence of </w:t>
            </w:r>
            <w:r w:rsidRPr="00B2237C">
              <w:rPr>
                <w:rFonts w:ascii="Times New Roman" w:hAnsi="Times New Roman" w:cs="Times New Roman"/>
                <w:sz w:val="24"/>
                <w:szCs w:val="24"/>
              </w:rPr>
              <w:lastRenderedPageBreak/>
              <w:t>relocation due to mold, and location/building trends.</w:t>
            </w:r>
            <w:r>
              <w:rPr>
                <w:rFonts w:ascii="Times New Roman" w:hAnsi="Times New Roman" w:cs="Times New Roman"/>
                <w:sz w:val="24"/>
                <w:szCs w:val="24"/>
              </w:rPr>
              <w:t xml:space="preserve">  A limitation of this study is that it is retrospective, and therefore based on the quality of data taken at the time that mold was reported to the EH&amp;S Office.  Therefore, it is possible that some cases of reported sickness due to mold may not be captured.</w:t>
            </w:r>
          </w:p>
          <w:p w14:paraId="164BF55B" w14:textId="2EE95CA0" w:rsidR="00B2237C" w:rsidRDefault="00B2237C" w:rsidP="00B2237C">
            <w:pPr>
              <w:spacing w:after="0" w:line="480" w:lineRule="auto"/>
              <w:ind w:firstLine="690"/>
              <w:rPr>
                <w:rFonts w:ascii="Times New Roman" w:hAnsi="Times New Roman" w:cs="Times New Roman"/>
                <w:sz w:val="24"/>
                <w:szCs w:val="24"/>
              </w:rPr>
            </w:pPr>
            <w:r w:rsidRPr="00B2237C">
              <w:rPr>
                <w:rFonts w:ascii="Times New Roman" w:hAnsi="Times New Roman" w:cs="Times New Roman"/>
                <w:sz w:val="24"/>
                <w:szCs w:val="24"/>
              </w:rPr>
              <w:t>One-way frequencies will be used to analyze each variable in the dataset, including complaint, finding, contact type, location, mold type, and action.  There are no continuous variables included in the research.  Binary Logistic Regression will be used to correlate the variable “Complaint” (reported illness) to the variable “Finding” (if mold was found).  All analyses will be performed using SAS Studio Version 3.8.</w:t>
            </w:r>
          </w:p>
          <w:p w14:paraId="5D8FB257" w14:textId="744BBF28" w:rsidR="00B2237C" w:rsidRPr="00B2237C" w:rsidRDefault="00B2237C" w:rsidP="00B2237C">
            <w:pPr>
              <w:spacing w:after="0" w:line="480" w:lineRule="auto"/>
              <w:ind w:firstLine="690"/>
              <w:rPr>
                <w:rFonts w:ascii="Times New Roman" w:hAnsi="Times New Roman" w:cs="Times New Roman"/>
                <w:sz w:val="24"/>
                <w:szCs w:val="24"/>
              </w:rPr>
            </w:pPr>
            <w:r w:rsidRPr="00B2237C">
              <w:rPr>
                <w:rFonts w:ascii="Times New Roman" w:hAnsi="Times New Roman" w:cs="Times New Roman"/>
                <w:sz w:val="24"/>
                <w:szCs w:val="24"/>
              </w:rPr>
              <w:t xml:space="preserve">The study sample consists of 93 reports of mold made between January 1, 2015 and December 31, 2019.  One-way frequency results for each variable are included in </w:t>
            </w:r>
            <w:r>
              <w:rPr>
                <w:rFonts w:ascii="Times New Roman" w:hAnsi="Times New Roman" w:cs="Times New Roman"/>
                <w:b/>
                <w:bCs/>
                <w:sz w:val="24"/>
                <w:szCs w:val="24"/>
              </w:rPr>
              <w:t xml:space="preserve">Appendix: </w:t>
            </w:r>
            <w:r w:rsidRPr="00B2237C">
              <w:rPr>
                <w:rFonts w:ascii="Times New Roman" w:hAnsi="Times New Roman" w:cs="Times New Roman"/>
                <w:b/>
                <w:bCs/>
                <w:sz w:val="24"/>
                <w:szCs w:val="24"/>
              </w:rPr>
              <w:t>Table 1</w:t>
            </w:r>
            <w:r w:rsidRPr="00B2237C">
              <w:rPr>
                <w:rFonts w:ascii="Times New Roman" w:hAnsi="Times New Roman" w:cs="Times New Roman"/>
                <w:sz w:val="24"/>
                <w:szCs w:val="24"/>
              </w:rPr>
              <w:t>.  Sample population consisted of 52% cases (reported illness) and 48% controls (did not report illness).  Mold was found in 29% of reports of suspected mold and no mold was found in 71% of reports of suspected mold.  Whitehurst Hall was found to have the most positive identification of mold cases with 26% and Powhatan Hall had the second most findings of mold with 14%.  Most reports were made by staff at 51%, followed by students with 46%.  The most found species of mold was Aspergillus/Penicillium which was identified in 17% of reports.  In 71% of reports, no action was taken. Personnel or students were relocated in 6% of cases, and in 23% of cases thorough cleaning of the location was performed (</w:t>
            </w:r>
            <w:r w:rsidRPr="00B2237C">
              <w:rPr>
                <w:rFonts w:ascii="Times New Roman" w:hAnsi="Times New Roman" w:cs="Times New Roman"/>
                <w:b/>
                <w:bCs/>
                <w:sz w:val="24"/>
                <w:szCs w:val="24"/>
              </w:rPr>
              <w:t>Appendix:</w:t>
            </w:r>
            <w:r>
              <w:rPr>
                <w:rFonts w:ascii="Times New Roman" w:hAnsi="Times New Roman" w:cs="Times New Roman"/>
                <w:sz w:val="24"/>
                <w:szCs w:val="24"/>
              </w:rPr>
              <w:t xml:space="preserve"> </w:t>
            </w:r>
            <w:r w:rsidRPr="00B2237C">
              <w:rPr>
                <w:rFonts w:ascii="Times New Roman" w:hAnsi="Times New Roman" w:cs="Times New Roman"/>
                <w:b/>
                <w:bCs/>
                <w:sz w:val="24"/>
                <w:szCs w:val="24"/>
              </w:rPr>
              <w:t>Table 1).</w:t>
            </w:r>
            <w:r w:rsidRPr="00B2237C">
              <w:rPr>
                <w:rFonts w:ascii="Times New Roman" w:hAnsi="Times New Roman" w:cs="Times New Roman"/>
                <w:sz w:val="24"/>
                <w:szCs w:val="24"/>
              </w:rPr>
              <w:t xml:space="preserve">  A 2x2 table of results is shown in </w:t>
            </w:r>
            <w:r>
              <w:rPr>
                <w:rFonts w:ascii="Times New Roman" w:hAnsi="Times New Roman" w:cs="Times New Roman"/>
                <w:b/>
                <w:bCs/>
                <w:sz w:val="24"/>
                <w:szCs w:val="24"/>
              </w:rPr>
              <w:t xml:space="preserve">Appendix: </w:t>
            </w:r>
            <w:r w:rsidRPr="00B2237C">
              <w:rPr>
                <w:rFonts w:ascii="Times New Roman" w:hAnsi="Times New Roman" w:cs="Times New Roman"/>
                <w:b/>
                <w:bCs/>
                <w:sz w:val="24"/>
                <w:szCs w:val="24"/>
              </w:rPr>
              <w:t>Table 2</w:t>
            </w:r>
            <w:r w:rsidRPr="00B2237C">
              <w:rPr>
                <w:rFonts w:ascii="Times New Roman" w:hAnsi="Times New Roman" w:cs="Times New Roman"/>
                <w:sz w:val="24"/>
                <w:szCs w:val="24"/>
              </w:rPr>
              <w:t>.  A Binary Logistic Regression was performed to analyze the correlation between reported sickness and the presence of mold.  The odds ratio is estimated to be 1.2 with a 95% confidence interval of 0.51 to 3.07.</w:t>
            </w:r>
          </w:p>
          <w:p w14:paraId="1C8A0B0F" w14:textId="77777777" w:rsidR="00B2237C" w:rsidRPr="00FF29E4" w:rsidRDefault="00B2237C" w:rsidP="002E0DAB">
            <w:pPr>
              <w:spacing w:after="0" w:line="480" w:lineRule="auto"/>
              <w:ind w:firstLine="690"/>
              <w:rPr>
                <w:rFonts w:ascii="Times New Roman" w:hAnsi="Times New Roman" w:cs="Times New Roman"/>
                <w:sz w:val="24"/>
                <w:szCs w:val="24"/>
              </w:rPr>
            </w:pPr>
            <w:r w:rsidRPr="00FF29E4">
              <w:rPr>
                <w:rFonts w:ascii="Times New Roman" w:hAnsi="Times New Roman" w:cs="Times New Roman"/>
                <w:sz w:val="24"/>
                <w:szCs w:val="24"/>
              </w:rPr>
              <w:lastRenderedPageBreak/>
              <w:t xml:space="preserve">There is no statistical evidence that there is a correlation between reported illness and mold in reports made by students, faculty, and staff on ODU’s Norfolk Campus.  There is 95% confidence that the odds ratio falls between 0.51 and 3.07. Since this includes 1, there is no statistical significance.  </w:t>
            </w:r>
          </w:p>
          <w:p w14:paraId="76D6F020" w14:textId="63E729F1" w:rsidR="00B2237C" w:rsidRDefault="00B2237C" w:rsidP="00B2237C">
            <w:pPr>
              <w:spacing w:after="0" w:line="480" w:lineRule="auto"/>
              <w:rPr>
                <w:rFonts w:ascii="Times New Roman" w:hAnsi="Times New Roman" w:cs="Times New Roman"/>
                <w:sz w:val="24"/>
                <w:szCs w:val="24"/>
              </w:rPr>
            </w:pPr>
            <w:r w:rsidRPr="00FF29E4">
              <w:rPr>
                <w:rFonts w:ascii="Times New Roman" w:hAnsi="Times New Roman" w:cs="Times New Roman"/>
                <w:sz w:val="24"/>
                <w:szCs w:val="24"/>
              </w:rPr>
              <w:tab/>
            </w:r>
            <w:r w:rsidR="00FF29E4">
              <w:rPr>
                <w:rFonts w:ascii="Times New Roman" w:hAnsi="Times New Roman" w:cs="Times New Roman"/>
                <w:sz w:val="24"/>
                <w:szCs w:val="24"/>
              </w:rPr>
              <w:t xml:space="preserve">Observation of the data showed that most reports of sickness as well as identified mold were made in the fall months.  Therefore, seasonal allergies may be a confounding factor in this study.  </w:t>
            </w:r>
            <w:r w:rsidRPr="00FF29E4">
              <w:rPr>
                <w:rFonts w:ascii="Times New Roman" w:hAnsi="Times New Roman" w:cs="Times New Roman"/>
                <w:sz w:val="24"/>
                <w:szCs w:val="24"/>
              </w:rPr>
              <w:t xml:space="preserve">Other conclusions made by this research are:  Whitehurst Hall had the highest incidence of mold findings between 2014 and 2019, Aspergillus/Penicillium is the most common mold species found by laboratory analysis during this time frame, and no additional action was required for 71% of reports made to the Environmental Health &amp; Safety Office. </w:t>
            </w:r>
          </w:p>
          <w:p w14:paraId="364101B4" w14:textId="0B906C80" w:rsidR="00FF29E4" w:rsidRPr="00FF29E4" w:rsidRDefault="00FF29E4" w:rsidP="00FF29E4">
            <w:pPr>
              <w:spacing w:after="0" w:line="480" w:lineRule="auto"/>
              <w:ind w:firstLine="690"/>
              <w:rPr>
                <w:rFonts w:ascii="Times New Roman" w:hAnsi="Times New Roman" w:cs="Times New Roman"/>
                <w:sz w:val="24"/>
                <w:szCs w:val="24"/>
              </w:rPr>
            </w:pPr>
            <w:r>
              <w:rPr>
                <w:rFonts w:ascii="Times New Roman" w:hAnsi="Times New Roman" w:cs="Times New Roman"/>
                <w:sz w:val="24"/>
                <w:szCs w:val="24"/>
              </w:rPr>
              <w:t>This data will be used to make recommendations to improve ODU’s mold management program, including proactive actions in locations prone to mold growth.  Annual data will continue to be documented and analyzed for emerging trends.</w:t>
            </w:r>
          </w:p>
          <w:p w14:paraId="2EB5BE27" w14:textId="3E9F1E5A" w:rsidR="005C2191" w:rsidRPr="004E6645" w:rsidRDefault="005C2191" w:rsidP="00FF29E4">
            <w:pPr>
              <w:pStyle w:val="Normal1"/>
              <w:spacing w:line="240" w:lineRule="auto"/>
              <w:rPr>
                <w:rFonts w:ascii="Times New Roman" w:eastAsia="Calibri" w:hAnsi="Times New Roman" w:cs="Times New Roman"/>
                <w:b/>
                <w:sz w:val="24"/>
                <w:szCs w:val="24"/>
              </w:rPr>
            </w:pPr>
          </w:p>
        </w:tc>
      </w:tr>
      <w:tr w:rsidR="002E0DAB" w:rsidRPr="004E6645" w14:paraId="6ADFB824" w14:textId="77777777" w:rsidTr="0047021D">
        <w:tc>
          <w:tcPr>
            <w:tcW w:w="9270" w:type="dxa"/>
            <w:shd w:val="clear" w:color="auto" w:fill="auto"/>
          </w:tcPr>
          <w:p w14:paraId="23A82202" w14:textId="77777777" w:rsidR="002E0DAB" w:rsidRDefault="002E0DAB" w:rsidP="002E0DAB">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References:</w:t>
            </w:r>
          </w:p>
          <w:p w14:paraId="042D73FB" w14:textId="77777777" w:rsidR="002E0DAB" w:rsidRDefault="002E0DAB" w:rsidP="002E0DAB">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p>
          <w:p w14:paraId="5EC72213" w14:textId="77777777" w:rsidR="002E0DAB" w:rsidRPr="0047021D" w:rsidRDefault="002E0DAB" w:rsidP="002E0DAB">
            <w:pPr>
              <w:rPr>
                <w:rFonts w:ascii="Times New Roman" w:hAnsi="Times New Roman" w:cs="Times New Roman"/>
                <w:color w:val="333333"/>
                <w:sz w:val="24"/>
                <w:szCs w:val="24"/>
                <w:shd w:val="clear" w:color="auto" w:fill="F5F5F5"/>
              </w:rPr>
            </w:pPr>
            <w:r w:rsidRPr="0047021D">
              <w:rPr>
                <w:rFonts w:ascii="Times New Roman" w:hAnsi="Times New Roman" w:cs="Times New Roman"/>
                <w:color w:val="333333"/>
                <w:sz w:val="24"/>
                <w:szCs w:val="24"/>
                <w:shd w:val="clear" w:color="auto" w:fill="F5F5F5"/>
              </w:rPr>
              <w:t xml:space="preserve">Everett Jones, S., </w:t>
            </w:r>
            <w:proofErr w:type="spellStart"/>
            <w:r w:rsidRPr="0047021D">
              <w:rPr>
                <w:rFonts w:ascii="Times New Roman" w:hAnsi="Times New Roman" w:cs="Times New Roman"/>
                <w:color w:val="333333"/>
                <w:sz w:val="24"/>
                <w:szCs w:val="24"/>
                <w:shd w:val="clear" w:color="auto" w:fill="F5F5F5"/>
              </w:rPr>
              <w:t>Doroski</w:t>
            </w:r>
            <w:proofErr w:type="spellEnd"/>
            <w:r w:rsidRPr="0047021D">
              <w:rPr>
                <w:rFonts w:ascii="Times New Roman" w:hAnsi="Times New Roman" w:cs="Times New Roman"/>
                <w:color w:val="333333"/>
                <w:sz w:val="24"/>
                <w:szCs w:val="24"/>
                <w:shd w:val="clear" w:color="auto" w:fill="F5F5F5"/>
              </w:rPr>
              <w:t xml:space="preserve">, B., &amp; Glick, S. (2015). Association Between State Assistance on the Topic of Indoor Air Quality and School District-Level Policies That Promote Indoor Air Quality in Schools. </w:t>
            </w:r>
            <w:r w:rsidRPr="0047021D">
              <w:rPr>
                <w:rFonts w:ascii="Times New Roman" w:hAnsi="Times New Roman" w:cs="Times New Roman"/>
                <w:i/>
                <w:iCs/>
                <w:color w:val="333333"/>
                <w:sz w:val="24"/>
                <w:szCs w:val="24"/>
                <w:bdr w:val="none" w:sz="0" w:space="0" w:color="auto" w:frame="1"/>
              </w:rPr>
              <w:t>Journal of School Nursing</w:t>
            </w:r>
            <w:r w:rsidRPr="0047021D">
              <w:rPr>
                <w:rFonts w:ascii="Times New Roman" w:hAnsi="Times New Roman" w:cs="Times New Roman"/>
                <w:color w:val="333333"/>
                <w:sz w:val="24"/>
                <w:szCs w:val="24"/>
                <w:shd w:val="clear" w:color="auto" w:fill="F5F5F5"/>
              </w:rPr>
              <w:t xml:space="preserve">, </w:t>
            </w:r>
            <w:r w:rsidRPr="0047021D">
              <w:rPr>
                <w:rFonts w:ascii="Times New Roman" w:hAnsi="Times New Roman" w:cs="Times New Roman"/>
                <w:i/>
                <w:iCs/>
                <w:color w:val="333333"/>
                <w:sz w:val="24"/>
                <w:szCs w:val="24"/>
                <w:bdr w:val="none" w:sz="0" w:space="0" w:color="auto" w:frame="1"/>
              </w:rPr>
              <w:t>31</w:t>
            </w:r>
            <w:r w:rsidRPr="0047021D">
              <w:rPr>
                <w:rFonts w:ascii="Times New Roman" w:hAnsi="Times New Roman" w:cs="Times New Roman"/>
                <w:color w:val="333333"/>
                <w:sz w:val="24"/>
                <w:szCs w:val="24"/>
                <w:shd w:val="clear" w:color="auto" w:fill="F5F5F5"/>
              </w:rPr>
              <w:t xml:space="preserve">(6), 422–429. </w:t>
            </w:r>
            <w:hyperlink r:id="rId10" w:history="1">
              <w:r w:rsidRPr="0047021D">
                <w:rPr>
                  <w:rStyle w:val="Hyperlink"/>
                  <w:rFonts w:ascii="Times New Roman" w:hAnsi="Times New Roman" w:cs="Times New Roman"/>
                  <w:sz w:val="24"/>
                  <w:szCs w:val="24"/>
                  <w:shd w:val="clear" w:color="auto" w:fill="F5F5F5"/>
                </w:rPr>
                <w:t>https://doi-org.proxy.lib.odu.edu/10.1177/1059840515579082</w:t>
              </w:r>
            </w:hyperlink>
          </w:p>
          <w:p w14:paraId="18730E18" w14:textId="77777777" w:rsidR="002E0DAB" w:rsidRPr="0047021D" w:rsidRDefault="002E0DAB" w:rsidP="002E0DAB">
            <w:pPr>
              <w:rPr>
                <w:rFonts w:ascii="Times New Roman" w:hAnsi="Times New Roman" w:cs="Times New Roman"/>
                <w:color w:val="333333"/>
                <w:sz w:val="24"/>
                <w:szCs w:val="24"/>
                <w:shd w:val="clear" w:color="auto" w:fill="F5F5F5"/>
              </w:rPr>
            </w:pPr>
            <w:proofErr w:type="spellStart"/>
            <w:r w:rsidRPr="0047021D">
              <w:rPr>
                <w:rFonts w:ascii="Times New Roman" w:hAnsi="Times New Roman" w:cs="Times New Roman"/>
                <w:color w:val="333333"/>
                <w:sz w:val="24"/>
                <w:szCs w:val="24"/>
                <w:shd w:val="clear" w:color="auto" w:fill="F5F5F5"/>
              </w:rPr>
              <w:t>Polyzoi</w:t>
            </w:r>
            <w:proofErr w:type="spellEnd"/>
            <w:r w:rsidRPr="0047021D">
              <w:rPr>
                <w:rFonts w:ascii="Times New Roman" w:hAnsi="Times New Roman" w:cs="Times New Roman"/>
                <w:color w:val="333333"/>
                <w:sz w:val="24"/>
                <w:szCs w:val="24"/>
                <w:shd w:val="clear" w:color="auto" w:fill="F5F5F5"/>
              </w:rPr>
              <w:t xml:space="preserve">, E., </w:t>
            </w:r>
            <w:proofErr w:type="spellStart"/>
            <w:r w:rsidRPr="0047021D">
              <w:rPr>
                <w:rFonts w:ascii="Times New Roman" w:hAnsi="Times New Roman" w:cs="Times New Roman"/>
                <w:color w:val="333333"/>
                <w:sz w:val="24"/>
                <w:szCs w:val="24"/>
                <w:shd w:val="clear" w:color="auto" w:fill="F5F5F5"/>
              </w:rPr>
              <w:t>Polyzois</w:t>
            </w:r>
            <w:proofErr w:type="spellEnd"/>
            <w:r w:rsidRPr="0047021D">
              <w:rPr>
                <w:rFonts w:ascii="Times New Roman" w:hAnsi="Times New Roman" w:cs="Times New Roman"/>
                <w:color w:val="333333"/>
                <w:sz w:val="24"/>
                <w:szCs w:val="24"/>
                <w:shd w:val="clear" w:color="auto" w:fill="F5F5F5"/>
              </w:rPr>
              <w:t xml:space="preserve">, D., &amp; Koulis, T. (2017). Presence of Household Mold, Children’s Respiratory Health, and School Absenteeism: Cause for Concern. </w:t>
            </w:r>
            <w:r w:rsidRPr="0047021D">
              <w:rPr>
                <w:rFonts w:ascii="Times New Roman" w:hAnsi="Times New Roman" w:cs="Times New Roman"/>
                <w:i/>
                <w:iCs/>
                <w:color w:val="333333"/>
                <w:sz w:val="24"/>
                <w:szCs w:val="24"/>
                <w:bdr w:val="none" w:sz="0" w:space="0" w:color="auto" w:frame="1"/>
              </w:rPr>
              <w:t>Journal of Environmental Health</w:t>
            </w:r>
            <w:r w:rsidRPr="0047021D">
              <w:rPr>
                <w:rFonts w:ascii="Times New Roman" w:hAnsi="Times New Roman" w:cs="Times New Roman"/>
                <w:color w:val="333333"/>
                <w:sz w:val="24"/>
                <w:szCs w:val="24"/>
                <w:shd w:val="clear" w:color="auto" w:fill="F5F5F5"/>
              </w:rPr>
              <w:t xml:space="preserve">, </w:t>
            </w:r>
            <w:r w:rsidRPr="0047021D">
              <w:rPr>
                <w:rFonts w:ascii="Times New Roman" w:hAnsi="Times New Roman" w:cs="Times New Roman"/>
                <w:i/>
                <w:iCs/>
                <w:color w:val="333333"/>
                <w:sz w:val="24"/>
                <w:szCs w:val="24"/>
                <w:bdr w:val="none" w:sz="0" w:space="0" w:color="auto" w:frame="1"/>
              </w:rPr>
              <w:t>79</w:t>
            </w:r>
            <w:r w:rsidRPr="0047021D">
              <w:rPr>
                <w:rFonts w:ascii="Times New Roman" w:hAnsi="Times New Roman" w:cs="Times New Roman"/>
                <w:color w:val="333333"/>
                <w:sz w:val="24"/>
                <w:szCs w:val="24"/>
                <w:shd w:val="clear" w:color="auto" w:fill="F5F5F5"/>
              </w:rPr>
              <w:t>(7), 28–35.</w:t>
            </w:r>
          </w:p>
          <w:p w14:paraId="10F0645F" w14:textId="71474615" w:rsidR="002E0DAB" w:rsidRDefault="002E0DAB" w:rsidP="002E0DAB">
            <w:pPr>
              <w:rPr>
                <w:rStyle w:val="Hyperlink"/>
                <w:rFonts w:ascii="Times New Roman" w:hAnsi="Times New Roman" w:cs="Times New Roman"/>
                <w:sz w:val="24"/>
                <w:szCs w:val="24"/>
                <w:shd w:val="clear" w:color="auto" w:fill="F5F5F5"/>
              </w:rPr>
            </w:pPr>
            <w:r w:rsidRPr="0047021D">
              <w:rPr>
                <w:rFonts w:ascii="Times New Roman" w:hAnsi="Times New Roman" w:cs="Times New Roman"/>
                <w:color w:val="333333"/>
                <w:sz w:val="24"/>
                <w:szCs w:val="24"/>
                <w:shd w:val="clear" w:color="auto" w:fill="F5F5F5"/>
              </w:rPr>
              <w:t xml:space="preserve">Sinclair, R., Russell, C., Kray, G., &amp; Vesper, S. (2018). Asthma Risk Associated with Indoor Mold Contamination in Hispanic Communities in Eastern Coachella Valley, California. </w:t>
            </w:r>
            <w:r w:rsidRPr="0047021D">
              <w:rPr>
                <w:rFonts w:ascii="Times New Roman" w:hAnsi="Times New Roman" w:cs="Times New Roman"/>
                <w:i/>
                <w:iCs/>
                <w:color w:val="333333"/>
                <w:sz w:val="24"/>
                <w:szCs w:val="24"/>
                <w:bdr w:val="none" w:sz="0" w:space="0" w:color="auto" w:frame="1"/>
              </w:rPr>
              <w:t>Journal of Environmental &amp; Public Health</w:t>
            </w:r>
            <w:r w:rsidRPr="0047021D">
              <w:rPr>
                <w:rFonts w:ascii="Times New Roman" w:hAnsi="Times New Roman" w:cs="Times New Roman"/>
                <w:color w:val="333333"/>
                <w:sz w:val="24"/>
                <w:szCs w:val="24"/>
                <w:shd w:val="clear" w:color="auto" w:fill="F5F5F5"/>
              </w:rPr>
              <w:t xml:space="preserve">, 1–7. </w:t>
            </w:r>
            <w:hyperlink r:id="rId11" w:history="1">
              <w:r w:rsidRPr="0047021D">
                <w:rPr>
                  <w:rStyle w:val="Hyperlink"/>
                  <w:rFonts w:ascii="Times New Roman" w:hAnsi="Times New Roman" w:cs="Times New Roman"/>
                  <w:sz w:val="24"/>
                  <w:szCs w:val="24"/>
                  <w:shd w:val="clear" w:color="auto" w:fill="F5F5F5"/>
                </w:rPr>
                <w:t>https://doi-org.proxy.lib.odu.edu/10.1155/2018/9350370</w:t>
              </w:r>
            </w:hyperlink>
          </w:p>
          <w:p w14:paraId="56588EF6" w14:textId="77777777" w:rsidR="002E0DAB" w:rsidRPr="0047021D" w:rsidRDefault="002E0DAB" w:rsidP="002E0DAB">
            <w:pPr>
              <w:rPr>
                <w:rFonts w:ascii="Times New Roman" w:hAnsi="Times New Roman" w:cs="Times New Roman"/>
                <w:color w:val="333333"/>
                <w:sz w:val="24"/>
                <w:szCs w:val="24"/>
                <w:shd w:val="clear" w:color="auto" w:fill="F5F5F5"/>
              </w:rPr>
            </w:pPr>
          </w:p>
          <w:p w14:paraId="715527AB" w14:textId="77777777" w:rsidR="002E0DAB" w:rsidRDefault="002E0DAB" w:rsidP="00F11025">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p>
        </w:tc>
      </w:tr>
      <w:tr w:rsidR="005C2191" w:rsidRPr="004E6645" w14:paraId="00E54746" w14:textId="77777777" w:rsidTr="0047021D">
        <w:tc>
          <w:tcPr>
            <w:tcW w:w="9270" w:type="dxa"/>
            <w:shd w:val="clear" w:color="auto" w:fill="auto"/>
          </w:tcPr>
          <w:p w14:paraId="528C9E49" w14:textId="4260F480" w:rsidR="005C2191" w:rsidRDefault="00FF29E4" w:rsidP="00F11025">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Appendix</w:t>
            </w:r>
            <w:r w:rsidR="005C2191" w:rsidRPr="004E6645">
              <w:rPr>
                <w:rFonts w:ascii="Times New Roman" w:eastAsia="Calibri" w:hAnsi="Times New Roman" w:cs="Times New Roman"/>
                <w:b/>
                <w:sz w:val="24"/>
                <w:szCs w:val="24"/>
              </w:rPr>
              <w:t>:</w:t>
            </w:r>
          </w:p>
          <w:tbl>
            <w:tblPr>
              <w:tblStyle w:val="TableGrid"/>
              <w:tblW w:w="0" w:type="auto"/>
              <w:jc w:val="center"/>
              <w:tblLook w:val="04A0" w:firstRow="1" w:lastRow="0" w:firstColumn="1" w:lastColumn="0" w:noHBand="0" w:noVBand="1"/>
            </w:tblPr>
            <w:tblGrid>
              <w:gridCol w:w="2576"/>
              <w:gridCol w:w="1310"/>
              <w:gridCol w:w="1462"/>
            </w:tblGrid>
            <w:tr w:rsidR="000802E2" w:rsidRPr="0047021D" w14:paraId="6BED56F8" w14:textId="77777777" w:rsidTr="0047021D">
              <w:trPr>
                <w:trHeight w:val="288"/>
                <w:jc w:val="center"/>
              </w:trPr>
              <w:tc>
                <w:tcPr>
                  <w:tcW w:w="0" w:type="auto"/>
                  <w:gridSpan w:val="3"/>
                  <w:shd w:val="clear" w:color="auto" w:fill="E7E6E6" w:themeFill="background2"/>
                </w:tcPr>
                <w:p w14:paraId="775DFE2F" w14:textId="77777777" w:rsidR="000802E2" w:rsidRPr="0047021D" w:rsidRDefault="000802E2" w:rsidP="000802E2">
                  <w:pPr>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Table 1:  One-Way Frequency Results</w:t>
                  </w:r>
                </w:p>
              </w:tc>
            </w:tr>
            <w:tr w:rsidR="000802E2" w:rsidRPr="0047021D" w14:paraId="1679E4CD" w14:textId="77777777" w:rsidTr="0047021D">
              <w:trPr>
                <w:trHeight w:val="288"/>
                <w:jc w:val="center"/>
              </w:trPr>
              <w:tc>
                <w:tcPr>
                  <w:tcW w:w="0" w:type="auto"/>
                </w:tcPr>
                <w:p w14:paraId="0B2E58B7" w14:textId="77777777" w:rsidR="000802E2" w:rsidRPr="0047021D" w:rsidRDefault="000802E2" w:rsidP="000802E2">
                  <w:pPr>
                    <w:spacing w:line="480" w:lineRule="auto"/>
                    <w:rPr>
                      <w:rFonts w:ascii="Times New Roman" w:hAnsi="Times New Roman" w:cs="Times New Roman"/>
                      <w:sz w:val="24"/>
                      <w:szCs w:val="24"/>
                    </w:rPr>
                  </w:pPr>
                </w:p>
              </w:tc>
              <w:tc>
                <w:tcPr>
                  <w:tcW w:w="0" w:type="auto"/>
                </w:tcPr>
                <w:p w14:paraId="0C0E1842" w14:textId="77777777" w:rsidR="000802E2" w:rsidRPr="0047021D" w:rsidRDefault="000802E2" w:rsidP="000802E2">
                  <w:pPr>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Frequency</w:t>
                  </w:r>
                </w:p>
              </w:tc>
              <w:tc>
                <w:tcPr>
                  <w:tcW w:w="0" w:type="auto"/>
                </w:tcPr>
                <w:p w14:paraId="13C56329" w14:textId="77777777" w:rsidR="000802E2" w:rsidRPr="0047021D" w:rsidRDefault="000802E2" w:rsidP="000802E2">
                  <w:pPr>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Percent (%)</w:t>
                  </w:r>
                </w:p>
              </w:tc>
            </w:tr>
            <w:tr w:rsidR="000802E2" w:rsidRPr="0047021D" w14:paraId="2F1CCE32" w14:textId="77777777" w:rsidTr="0047021D">
              <w:trPr>
                <w:trHeight w:val="288"/>
                <w:jc w:val="center"/>
              </w:trPr>
              <w:tc>
                <w:tcPr>
                  <w:tcW w:w="0" w:type="auto"/>
                  <w:gridSpan w:val="3"/>
                  <w:shd w:val="clear" w:color="auto" w:fill="A5A5A5" w:themeFill="accent3"/>
                </w:tcPr>
                <w:p w14:paraId="5D4B5C32" w14:textId="77777777" w:rsidR="000802E2" w:rsidRPr="0047021D" w:rsidRDefault="000802E2" w:rsidP="000802E2">
                  <w:pPr>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COMPLAINT</w:t>
                  </w:r>
                </w:p>
              </w:tc>
            </w:tr>
            <w:tr w:rsidR="000802E2" w:rsidRPr="0047021D" w14:paraId="47C20491" w14:textId="77777777" w:rsidTr="0047021D">
              <w:trPr>
                <w:trHeight w:val="288"/>
                <w:jc w:val="center"/>
              </w:trPr>
              <w:tc>
                <w:tcPr>
                  <w:tcW w:w="0" w:type="auto"/>
                </w:tcPr>
                <w:p w14:paraId="7F1F1A71"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Sick</w:t>
                  </w:r>
                </w:p>
              </w:tc>
              <w:tc>
                <w:tcPr>
                  <w:tcW w:w="0" w:type="auto"/>
                </w:tcPr>
                <w:p w14:paraId="67466FC9"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48</w:t>
                  </w:r>
                </w:p>
              </w:tc>
              <w:tc>
                <w:tcPr>
                  <w:tcW w:w="0" w:type="auto"/>
                </w:tcPr>
                <w:p w14:paraId="143B7346"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52</w:t>
                  </w:r>
                </w:p>
              </w:tc>
            </w:tr>
            <w:tr w:rsidR="000802E2" w:rsidRPr="0047021D" w14:paraId="51A1F834" w14:textId="77777777" w:rsidTr="0047021D">
              <w:trPr>
                <w:trHeight w:val="288"/>
                <w:jc w:val="center"/>
              </w:trPr>
              <w:tc>
                <w:tcPr>
                  <w:tcW w:w="0" w:type="auto"/>
                </w:tcPr>
                <w:p w14:paraId="79361B18"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Not Sick</w:t>
                  </w:r>
                </w:p>
              </w:tc>
              <w:tc>
                <w:tcPr>
                  <w:tcW w:w="0" w:type="auto"/>
                </w:tcPr>
                <w:p w14:paraId="2BBA618E"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45</w:t>
                  </w:r>
                </w:p>
              </w:tc>
              <w:tc>
                <w:tcPr>
                  <w:tcW w:w="0" w:type="auto"/>
                </w:tcPr>
                <w:p w14:paraId="283D458D"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48</w:t>
                  </w:r>
                </w:p>
              </w:tc>
            </w:tr>
            <w:tr w:rsidR="000802E2" w:rsidRPr="0047021D" w14:paraId="3A043869" w14:textId="77777777" w:rsidTr="0047021D">
              <w:trPr>
                <w:trHeight w:val="288"/>
                <w:jc w:val="center"/>
              </w:trPr>
              <w:tc>
                <w:tcPr>
                  <w:tcW w:w="0" w:type="auto"/>
                  <w:gridSpan w:val="3"/>
                  <w:shd w:val="clear" w:color="auto" w:fill="A5A5A5" w:themeFill="accent3"/>
                </w:tcPr>
                <w:p w14:paraId="4DBBD5C1" w14:textId="77777777" w:rsidR="000802E2" w:rsidRPr="0047021D" w:rsidRDefault="000802E2" w:rsidP="000802E2">
                  <w:pPr>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FINDING</w:t>
                  </w:r>
                </w:p>
              </w:tc>
            </w:tr>
            <w:tr w:rsidR="000802E2" w:rsidRPr="0047021D" w14:paraId="6A484CE0" w14:textId="77777777" w:rsidTr="0047021D">
              <w:trPr>
                <w:trHeight w:val="288"/>
                <w:jc w:val="center"/>
              </w:trPr>
              <w:tc>
                <w:tcPr>
                  <w:tcW w:w="0" w:type="auto"/>
                </w:tcPr>
                <w:p w14:paraId="4EF4F22E"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Mold Found</w:t>
                  </w:r>
                </w:p>
              </w:tc>
              <w:tc>
                <w:tcPr>
                  <w:tcW w:w="0" w:type="auto"/>
                </w:tcPr>
                <w:p w14:paraId="25FBA6FA"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27</w:t>
                  </w:r>
                </w:p>
              </w:tc>
              <w:tc>
                <w:tcPr>
                  <w:tcW w:w="0" w:type="auto"/>
                </w:tcPr>
                <w:p w14:paraId="42419D9C"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29</w:t>
                  </w:r>
                </w:p>
              </w:tc>
            </w:tr>
            <w:tr w:rsidR="000802E2" w:rsidRPr="0047021D" w14:paraId="2EEC0A84" w14:textId="77777777" w:rsidTr="0047021D">
              <w:trPr>
                <w:trHeight w:val="288"/>
                <w:jc w:val="center"/>
              </w:trPr>
              <w:tc>
                <w:tcPr>
                  <w:tcW w:w="0" w:type="auto"/>
                </w:tcPr>
                <w:p w14:paraId="72BA1A18"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No Mold Found</w:t>
                  </w:r>
                </w:p>
              </w:tc>
              <w:tc>
                <w:tcPr>
                  <w:tcW w:w="0" w:type="auto"/>
                </w:tcPr>
                <w:p w14:paraId="6887FA0F"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66</w:t>
                  </w:r>
                </w:p>
              </w:tc>
              <w:tc>
                <w:tcPr>
                  <w:tcW w:w="0" w:type="auto"/>
                </w:tcPr>
                <w:p w14:paraId="43910EA8"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71</w:t>
                  </w:r>
                </w:p>
              </w:tc>
            </w:tr>
            <w:tr w:rsidR="000802E2" w:rsidRPr="0047021D" w14:paraId="5A8583C0" w14:textId="77777777" w:rsidTr="0047021D">
              <w:trPr>
                <w:trHeight w:val="288"/>
                <w:jc w:val="center"/>
              </w:trPr>
              <w:tc>
                <w:tcPr>
                  <w:tcW w:w="0" w:type="auto"/>
                  <w:gridSpan w:val="3"/>
                  <w:shd w:val="clear" w:color="auto" w:fill="A5A5A5" w:themeFill="accent3"/>
                </w:tcPr>
                <w:p w14:paraId="305C285F" w14:textId="77777777" w:rsidR="000802E2" w:rsidRPr="0047021D" w:rsidRDefault="000802E2" w:rsidP="000802E2">
                  <w:pPr>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LOCATION</w:t>
                  </w:r>
                </w:p>
              </w:tc>
            </w:tr>
            <w:tr w:rsidR="000802E2" w:rsidRPr="0047021D" w14:paraId="0156242F" w14:textId="77777777" w:rsidTr="0047021D">
              <w:trPr>
                <w:trHeight w:val="288"/>
                <w:jc w:val="center"/>
              </w:trPr>
              <w:tc>
                <w:tcPr>
                  <w:tcW w:w="0" w:type="auto"/>
                </w:tcPr>
                <w:p w14:paraId="4F1C4247"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Health Sciences</w:t>
                  </w:r>
                </w:p>
              </w:tc>
              <w:tc>
                <w:tcPr>
                  <w:tcW w:w="0" w:type="auto"/>
                </w:tcPr>
                <w:p w14:paraId="0A277C5B"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w:t>
                  </w:r>
                </w:p>
              </w:tc>
              <w:tc>
                <w:tcPr>
                  <w:tcW w:w="0" w:type="auto"/>
                </w:tcPr>
                <w:p w14:paraId="27DA6B61"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w:t>
                  </w:r>
                </w:p>
              </w:tc>
            </w:tr>
            <w:tr w:rsidR="000802E2" w:rsidRPr="0047021D" w14:paraId="45DE6D03" w14:textId="77777777" w:rsidTr="0047021D">
              <w:trPr>
                <w:trHeight w:val="288"/>
                <w:jc w:val="center"/>
              </w:trPr>
              <w:tc>
                <w:tcPr>
                  <w:tcW w:w="0" w:type="auto"/>
                </w:tcPr>
                <w:p w14:paraId="60B6DE89"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Perry Library</w:t>
                  </w:r>
                </w:p>
              </w:tc>
              <w:tc>
                <w:tcPr>
                  <w:tcW w:w="0" w:type="auto"/>
                </w:tcPr>
                <w:p w14:paraId="62842834"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5</w:t>
                  </w:r>
                </w:p>
              </w:tc>
              <w:tc>
                <w:tcPr>
                  <w:tcW w:w="0" w:type="auto"/>
                </w:tcPr>
                <w:p w14:paraId="0307308E"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5</w:t>
                  </w:r>
                </w:p>
              </w:tc>
            </w:tr>
            <w:tr w:rsidR="000802E2" w:rsidRPr="0047021D" w14:paraId="7CC40E40" w14:textId="77777777" w:rsidTr="0047021D">
              <w:trPr>
                <w:trHeight w:val="288"/>
                <w:jc w:val="center"/>
              </w:trPr>
              <w:tc>
                <w:tcPr>
                  <w:tcW w:w="0" w:type="auto"/>
                </w:tcPr>
                <w:p w14:paraId="0108D321"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Powhatan Hall</w:t>
                  </w:r>
                </w:p>
              </w:tc>
              <w:tc>
                <w:tcPr>
                  <w:tcW w:w="0" w:type="auto"/>
                </w:tcPr>
                <w:p w14:paraId="4A984499"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13</w:t>
                  </w:r>
                </w:p>
              </w:tc>
              <w:tc>
                <w:tcPr>
                  <w:tcW w:w="0" w:type="auto"/>
                </w:tcPr>
                <w:p w14:paraId="4E8C707B"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14</w:t>
                  </w:r>
                </w:p>
              </w:tc>
            </w:tr>
            <w:tr w:rsidR="000802E2" w:rsidRPr="0047021D" w14:paraId="3B441741" w14:textId="77777777" w:rsidTr="0047021D">
              <w:trPr>
                <w:trHeight w:val="288"/>
                <w:jc w:val="center"/>
              </w:trPr>
              <w:tc>
                <w:tcPr>
                  <w:tcW w:w="0" w:type="auto"/>
                </w:tcPr>
                <w:p w14:paraId="086398DA"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Rollins Hall</w:t>
                  </w:r>
                </w:p>
              </w:tc>
              <w:tc>
                <w:tcPr>
                  <w:tcW w:w="0" w:type="auto"/>
                </w:tcPr>
                <w:p w14:paraId="6FEB9060"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5</w:t>
                  </w:r>
                </w:p>
              </w:tc>
              <w:tc>
                <w:tcPr>
                  <w:tcW w:w="0" w:type="auto"/>
                </w:tcPr>
                <w:p w14:paraId="3B0EA105"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5</w:t>
                  </w:r>
                </w:p>
              </w:tc>
            </w:tr>
            <w:tr w:rsidR="000802E2" w:rsidRPr="0047021D" w14:paraId="060F20CF" w14:textId="77777777" w:rsidTr="0047021D">
              <w:trPr>
                <w:trHeight w:val="288"/>
                <w:jc w:val="center"/>
              </w:trPr>
              <w:tc>
                <w:tcPr>
                  <w:tcW w:w="0" w:type="auto"/>
                </w:tcPr>
                <w:p w14:paraId="3E3CFBAB"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Spong Hall</w:t>
                  </w:r>
                </w:p>
              </w:tc>
              <w:tc>
                <w:tcPr>
                  <w:tcW w:w="0" w:type="auto"/>
                </w:tcPr>
                <w:p w14:paraId="448FADE8"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w:t>
                  </w:r>
                </w:p>
              </w:tc>
              <w:tc>
                <w:tcPr>
                  <w:tcW w:w="0" w:type="auto"/>
                </w:tcPr>
                <w:p w14:paraId="570F6E81"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w:t>
                  </w:r>
                </w:p>
              </w:tc>
            </w:tr>
            <w:tr w:rsidR="000802E2" w:rsidRPr="0047021D" w14:paraId="2249F277" w14:textId="77777777" w:rsidTr="0047021D">
              <w:trPr>
                <w:trHeight w:val="288"/>
                <w:jc w:val="center"/>
              </w:trPr>
              <w:tc>
                <w:tcPr>
                  <w:tcW w:w="0" w:type="auto"/>
                </w:tcPr>
                <w:p w14:paraId="0D6A65CA"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Whitehurst Hall</w:t>
                  </w:r>
                </w:p>
              </w:tc>
              <w:tc>
                <w:tcPr>
                  <w:tcW w:w="0" w:type="auto"/>
                </w:tcPr>
                <w:p w14:paraId="45CFBFE3"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24</w:t>
                  </w:r>
                </w:p>
              </w:tc>
              <w:tc>
                <w:tcPr>
                  <w:tcW w:w="0" w:type="auto"/>
                </w:tcPr>
                <w:p w14:paraId="4E014892"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26</w:t>
                  </w:r>
                </w:p>
              </w:tc>
            </w:tr>
            <w:tr w:rsidR="000802E2" w:rsidRPr="0047021D" w14:paraId="203E0C25" w14:textId="77777777" w:rsidTr="0047021D">
              <w:trPr>
                <w:trHeight w:val="288"/>
                <w:jc w:val="center"/>
              </w:trPr>
              <w:tc>
                <w:tcPr>
                  <w:tcW w:w="0" w:type="auto"/>
                </w:tcPr>
                <w:p w14:paraId="09E78884"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Other (≤3 reports)</w:t>
                  </w:r>
                </w:p>
              </w:tc>
              <w:tc>
                <w:tcPr>
                  <w:tcW w:w="0" w:type="auto"/>
                </w:tcPr>
                <w:p w14:paraId="126CD5CC"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38</w:t>
                  </w:r>
                </w:p>
              </w:tc>
              <w:tc>
                <w:tcPr>
                  <w:tcW w:w="0" w:type="auto"/>
                </w:tcPr>
                <w:p w14:paraId="74529C2B"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41</w:t>
                  </w:r>
                </w:p>
              </w:tc>
            </w:tr>
            <w:tr w:rsidR="000802E2" w:rsidRPr="0047021D" w14:paraId="39250037" w14:textId="77777777" w:rsidTr="0047021D">
              <w:trPr>
                <w:trHeight w:val="288"/>
                <w:jc w:val="center"/>
              </w:trPr>
              <w:tc>
                <w:tcPr>
                  <w:tcW w:w="0" w:type="auto"/>
                  <w:gridSpan w:val="3"/>
                  <w:shd w:val="clear" w:color="auto" w:fill="A5A5A5" w:themeFill="accent3"/>
                </w:tcPr>
                <w:p w14:paraId="076497EC" w14:textId="77777777" w:rsidR="000802E2" w:rsidRPr="0047021D" w:rsidRDefault="000802E2" w:rsidP="000802E2">
                  <w:pPr>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CONTACT TYPE</w:t>
                  </w:r>
                </w:p>
              </w:tc>
            </w:tr>
            <w:tr w:rsidR="000802E2" w:rsidRPr="0047021D" w14:paraId="3E03804E" w14:textId="77777777" w:rsidTr="0047021D">
              <w:trPr>
                <w:trHeight w:val="288"/>
                <w:jc w:val="center"/>
              </w:trPr>
              <w:tc>
                <w:tcPr>
                  <w:tcW w:w="0" w:type="auto"/>
                </w:tcPr>
                <w:p w14:paraId="5B8622C2"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Student</w:t>
                  </w:r>
                </w:p>
              </w:tc>
              <w:tc>
                <w:tcPr>
                  <w:tcW w:w="0" w:type="auto"/>
                </w:tcPr>
                <w:p w14:paraId="43F05214"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43</w:t>
                  </w:r>
                </w:p>
              </w:tc>
              <w:tc>
                <w:tcPr>
                  <w:tcW w:w="0" w:type="auto"/>
                </w:tcPr>
                <w:p w14:paraId="7589AECA"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46</w:t>
                  </w:r>
                </w:p>
              </w:tc>
            </w:tr>
            <w:tr w:rsidR="000802E2" w:rsidRPr="0047021D" w14:paraId="1DD32ED0" w14:textId="77777777" w:rsidTr="0047021D">
              <w:trPr>
                <w:trHeight w:val="288"/>
                <w:jc w:val="center"/>
              </w:trPr>
              <w:tc>
                <w:tcPr>
                  <w:tcW w:w="0" w:type="auto"/>
                </w:tcPr>
                <w:p w14:paraId="275E132B"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Staff</w:t>
                  </w:r>
                </w:p>
              </w:tc>
              <w:tc>
                <w:tcPr>
                  <w:tcW w:w="0" w:type="auto"/>
                </w:tcPr>
                <w:p w14:paraId="5F122280"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47</w:t>
                  </w:r>
                </w:p>
              </w:tc>
              <w:tc>
                <w:tcPr>
                  <w:tcW w:w="0" w:type="auto"/>
                </w:tcPr>
                <w:p w14:paraId="55C26616"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51</w:t>
                  </w:r>
                </w:p>
              </w:tc>
            </w:tr>
            <w:tr w:rsidR="000802E2" w:rsidRPr="0047021D" w14:paraId="14A3F4DF" w14:textId="77777777" w:rsidTr="0047021D">
              <w:trPr>
                <w:trHeight w:val="288"/>
                <w:jc w:val="center"/>
              </w:trPr>
              <w:tc>
                <w:tcPr>
                  <w:tcW w:w="0" w:type="auto"/>
                </w:tcPr>
                <w:p w14:paraId="49B7ACB7"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Faculty</w:t>
                  </w:r>
                </w:p>
              </w:tc>
              <w:tc>
                <w:tcPr>
                  <w:tcW w:w="0" w:type="auto"/>
                </w:tcPr>
                <w:p w14:paraId="2669C971"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3</w:t>
                  </w:r>
                </w:p>
              </w:tc>
              <w:tc>
                <w:tcPr>
                  <w:tcW w:w="0" w:type="auto"/>
                </w:tcPr>
                <w:p w14:paraId="4361A92D"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3</w:t>
                  </w:r>
                </w:p>
              </w:tc>
            </w:tr>
            <w:tr w:rsidR="000802E2" w:rsidRPr="0047021D" w14:paraId="22CADDB3" w14:textId="77777777" w:rsidTr="0047021D">
              <w:trPr>
                <w:trHeight w:val="288"/>
                <w:jc w:val="center"/>
              </w:trPr>
              <w:tc>
                <w:tcPr>
                  <w:tcW w:w="0" w:type="auto"/>
                  <w:gridSpan w:val="3"/>
                  <w:shd w:val="clear" w:color="auto" w:fill="A5A5A5" w:themeFill="accent3"/>
                </w:tcPr>
                <w:p w14:paraId="70F5DA76" w14:textId="77777777" w:rsidR="000802E2" w:rsidRPr="0047021D" w:rsidRDefault="000802E2" w:rsidP="000802E2">
                  <w:pPr>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MOLD TYPE*</w:t>
                  </w:r>
                </w:p>
              </w:tc>
            </w:tr>
            <w:tr w:rsidR="000802E2" w:rsidRPr="0047021D" w14:paraId="60171131" w14:textId="77777777" w:rsidTr="0047021D">
              <w:trPr>
                <w:trHeight w:val="288"/>
                <w:jc w:val="center"/>
              </w:trPr>
              <w:tc>
                <w:tcPr>
                  <w:tcW w:w="0" w:type="auto"/>
                </w:tcPr>
                <w:p w14:paraId="5BA7E72E"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Aspergillus/Penicillium</w:t>
                  </w:r>
                </w:p>
              </w:tc>
              <w:tc>
                <w:tcPr>
                  <w:tcW w:w="0" w:type="auto"/>
                </w:tcPr>
                <w:p w14:paraId="535CB0AB"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16</w:t>
                  </w:r>
                </w:p>
              </w:tc>
              <w:tc>
                <w:tcPr>
                  <w:tcW w:w="0" w:type="auto"/>
                </w:tcPr>
                <w:p w14:paraId="25F26B9C"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17</w:t>
                  </w:r>
                </w:p>
              </w:tc>
            </w:tr>
            <w:tr w:rsidR="000802E2" w:rsidRPr="0047021D" w14:paraId="389C356E" w14:textId="77777777" w:rsidTr="0047021D">
              <w:trPr>
                <w:trHeight w:val="288"/>
                <w:jc w:val="center"/>
              </w:trPr>
              <w:tc>
                <w:tcPr>
                  <w:tcW w:w="0" w:type="auto"/>
                </w:tcPr>
                <w:p w14:paraId="6FFB769D" w14:textId="77777777" w:rsidR="000802E2" w:rsidRPr="0047021D" w:rsidRDefault="000802E2" w:rsidP="000802E2">
                  <w:pPr>
                    <w:spacing w:line="480" w:lineRule="auto"/>
                    <w:rPr>
                      <w:rFonts w:ascii="Times New Roman" w:hAnsi="Times New Roman" w:cs="Times New Roman"/>
                      <w:sz w:val="24"/>
                      <w:szCs w:val="24"/>
                    </w:rPr>
                  </w:pPr>
                  <w:proofErr w:type="spellStart"/>
                  <w:r w:rsidRPr="0047021D">
                    <w:rPr>
                      <w:rFonts w:ascii="Times New Roman" w:hAnsi="Times New Roman" w:cs="Times New Roman"/>
                      <w:sz w:val="24"/>
                      <w:szCs w:val="24"/>
                    </w:rPr>
                    <w:lastRenderedPageBreak/>
                    <w:t>Cladisporium</w:t>
                  </w:r>
                  <w:proofErr w:type="spellEnd"/>
                </w:p>
              </w:tc>
              <w:tc>
                <w:tcPr>
                  <w:tcW w:w="0" w:type="auto"/>
                </w:tcPr>
                <w:p w14:paraId="1D0261DE"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w:t>
                  </w:r>
                </w:p>
              </w:tc>
              <w:tc>
                <w:tcPr>
                  <w:tcW w:w="0" w:type="auto"/>
                </w:tcPr>
                <w:p w14:paraId="7F714CCC"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4</w:t>
                  </w:r>
                </w:p>
              </w:tc>
            </w:tr>
            <w:tr w:rsidR="000802E2" w:rsidRPr="0047021D" w14:paraId="1CC0DA79" w14:textId="77777777" w:rsidTr="0047021D">
              <w:trPr>
                <w:trHeight w:val="288"/>
                <w:jc w:val="center"/>
              </w:trPr>
              <w:tc>
                <w:tcPr>
                  <w:tcW w:w="0" w:type="auto"/>
                </w:tcPr>
                <w:p w14:paraId="5BBA9899"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Trichoderma</w:t>
                  </w:r>
                </w:p>
              </w:tc>
              <w:tc>
                <w:tcPr>
                  <w:tcW w:w="0" w:type="auto"/>
                </w:tcPr>
                <w:p w14:paraId="207D050B"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1</w:t>
                  </w:r>
                </w:p>
              </w:tc>
              <w:tc>
                <w:tcPr>
                  <w:tcW w:w="0" w:type="auto"/>
                </w:tcPr>
                <w:p w14:paraId="77373A34"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1</w:t>
                  </w:r>
                </w:p>
              </w:tc>
            </w:tr>
            <w:tr w:rsidR="000802E2" w:rsidRPr="0047021D" w14:paraId="39C00561" w14:textId="77777777" w:rsidTr="0047021D">
              <w:trPr>
                <w:trHeight w:val="288"/>
                <w:jc w:val="center"/>
              </w:trPr>
              <w:tc>
                <w:tcPr>
                  <w:tcW w:w="0" w:type="auto"/>
                </w:tcPr>
                <w:p w14:paraId="2D8A17EB"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Other</w:t>
                  </w:r>
                </w:p>
              </w:tc>
              <w:tc>
                <w:tcPr>
                  <w:tcW w:w="0" w:type="auto"/>
                </w:tcPr>
                <w:p w14:paraId="25C4628C"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1</w:t>
                  </w:r>
                </w:p>
              </w:tc>
              <w:tc>
                <w:tcPr>
                  <w:tcW w:w="0" w:type="auto"/>
                </w:tcPr>
                <w:p w14:paraId="7A0555F8"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1</w:t>
                  </w:r>
                </w:p>
              </w:tc>
            </w:tr>
            <w:tr w:rsidR="000802E2" w:rsidRPr="0047021D" w14:paraId="2E86A598" w14:textId="77777777" w:rsidTr="0047021D">
              <w:trPr>
                <w:trHeight w:val="288"/>
                <w:jc w:val="center"/>
              </w:trPr>
              <w:tc>
                <w:tcPr>
                  <w:tcW w:w="0" w:type="auto"/>
                </w:tcPr>
                <w:p w14:paraId="169B1E80"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Not tested</w:t>
                  </w:r>
                </w:p>
              </w:tc>
              <w:tc>
                <w:tcPr>
                  <w:tcW w:w="0" w:type="auto"/>
                </w:tcPr>
                <w:p w14:paraId="57EDDA2F"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5</w:t>
                  </w:r>
                </w:p>
              </w:tc>
              <w:tc>
                <w:tcPr>
                  <w:tcW w:w="0" w:type="auto"/>
                </w:tcPr>
                <w:p w14:paraId="5AD81411"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5</w:t>
                  </w:r>
                </w:p>
              </w:tc>
            </w:tr>
            <w:tr w:rsidR="000802E2" w:rsidRPr="0047021D" w14:paraId="4BD69677" w14:textId="77777777" w:rsidTr="0047021D">
              <w:trPr>
                <w:trHeight w:val="288"/>
                <w:jc w:val="center"/>
              </w:trPr>
              <w:tc>
                <w:tcPr>
                  <w:tcW w:w="0" w:type="auto"/>
                  <w:gridSpan w:val="3"/>
                  <w:shd w:val="clear" w:color="auto" w:fill="A5A5A5" w:themeFill="accent3"/>
                </w:tcPr>
                <w:p w14:paraId="7E8B94C0" w14:textId="77777777" w:rsidR="000802E2" w:rsidRPr="0047021D" w:rsidRDefault="000802E2" w:rsidP="000802E2">
                  <w:pPr>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ACTION TAKEN</w:t>
                  </w:r>
                </w:p>
              </w:tc>
            </w:tr>
            <w:tr w:rsidR="000802E2" w:rsidRPr="0047021D" w14:paraId="4E0150EE" w14:textId="77777777" w:rsidTr="0047021D">
              <w:trPr>
                <w:trHeight w:val="288"/>
                <w:jc w:val="center"/>
              </w:trPr>
              <w:tc>
                <w:tcPr>
                  <w:tcW w:w="0" w:type="auto"/>
                </w:tcPr>
                <w:p w14:paraId="025731DE"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Relocation</w:t>
                  </w:r>
                </w:p>
              </w:tc>
              <w:tc>
                <w:tcPr>
                  <w:tcW w:w="0" w:type="auto"/>
                </w:tcPr>
                <w:p w14:paraId="6620D4EF"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6</w:t>
                  </w:r>
                </w:p>
              </w:tc>
              <w:tc>
                <w:tcPr>
                  <w:tcW w:w="0" w:type="auto"/>
                </w:tcPr>
                <w:p w14:paraId="1495B304"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6</w:t>
                  </w:r>
                </w:p>
              </w:tc>
            </w:tr>
            <w:tr w:rsidR="000802E2" w:rsidRPr="0047021D" w14:paraId="13CCEF3F" w14:textId="77777777" w:rsidTr="0047021D">
              <w:trPr>
                <w:trHeight w:val="288"/>
                <w:jc w:val="center"/>
              </w:trPr>
              <w:tc>
                <w:tcPr>
                  <w:tcW w:w="0" w:type="auto"/>
                </w:tcPr>
                <w:p w14:paraId="238AA84F"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Cleaning/ Item Removal</w:t>
                  </w:r>
                </w:p>
              </w:tc>
              <w:tc>
                <w:tcPr>
                  <w:tcW w:w="0" w:type="auto"/>
                </w:tcPr>
                <w:p w14:paraId="19679D1E"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21</w:t>
                  </w:r>
                </w:p>
              </w:tc>
              <w:tc>
                <w:tcPr>
                  <w:tcW w:w="0" w:type="auto"/>
                </w:tcPr>
                <w:p w14:paraId="37034724"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23</w:t>
                  </w:r>
                </w:p>
              </w:tc>
            </w:tr>
            <w:tr w:rsidR="000802E2" w:rsidRPr="0047021D" w14:paraId="4CEB7531" w14:textId="77777777" w:rsidTr="0047021D">
              <w:trPr>
                <w:trHeight w:val="288"/>
                <w:jc w:val="center"/>
              </w:trPr>
              <w:tc>
                <w:tcPr>
                  <w:tcW w:w="0" w:type="auto"/>
                </w:tcPr>
                <w:p w14:paraId="3802FC15"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None</w:t>
                  </w:r>
                </w:p>
              </w:tc>
              <w:tc>
                <w:tcPr>
                  <w:tcW w:w="0" w:type="auto"/>
                </w:tcPr>
                <w:p w14:paraId="658D944F"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66</w:t>
                  </w:r>
                </w:p>
              </w:tc>
              <w:tc>
                <w:tcPr>
                  <w:tcW w:w="0" w:type="auto"/>
                </w:tcPr>
                <w:p w14:paraId="037F7D02" w14:textId="77777777" w:rsidR="000802E2" w:rsidRPr="0047021D" w:rsidRDefault="000802E2" w:rsidP="000802E2">
                  <w:pPr>
                    <w:spacing w:line="480" w:lineRule="auto"/>
                    <w:rPr>
                      <w:rFonts w:ascii="Times New Roman" w:hAnsi="Times New Roman" w:cs="Times New Roman"/>
                      <w:sz w:val="24"/>
                      <w:szCs w:val="24"/>
                    </w:rPr>
                  </w:pPr>
                  <w:r w:rsidRPr="0047021D">
                    <w:rPr>
                      <w:rFonts w:ascii="Times New Roman" w:hAnsi="Times New Roman" w:cs="Times New Roman"/>
                      <w:sz w:val="24"/>
                      <w:szCs w:val="24"/>
                    </w:rPr>
                    <w:t>71</w:t>
                  </w:r>
                </w:p>
              </w:tc>
            </w:tr>
          </w:tbl>
          <w:p w14:paraId="1C90BAE1" w14:textId="43376176" w:rsidR="000802E2" w:rsidRDefault="000802E2" w:rsidP="00F11025">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p>
          <w:tbl>
            <w:tblPr>
              <w:tblStyle w:val="TableGrid"/>
              <w:tblW w:w="0" w:type="auto"/>
              <w:tblLook w:val="04A0" w:firstRow="1" w:lastRow="0" w:firstColumn="1" w:lastColumn="0" w:noHBand="0" w:noVBand="1"/>
            </w:tblPr>
            <w:tblGrid>
              <w:gridCol w:w="3032"/>
              <w:gridCol w:w="2999"/>
              <w:gridCol w:w="2999"/>
            </w:tblGrid>
            <w:tr w:rsidR="000802E2" w:rsidRPr="0047021D" w14:paraId="1CC5CBDB" w14:textId="77777777" w:rsidTr="0047021D">
              <w:tc>
                <w:tcPr>
                  <w:tcW w:w="9350" w:type="dxa"/>
                  <w:gridSpan w:val="3"/>
                  <w:shd w:val="clear" w:color="auto" w:fill="E7E6E6" w:themeFill="background2"/>
                </w:tcPr>
                <w:p w14:paraId="077E8BCC" w14:textId="77777777" w:rsidR="000802E2" w:rsidRPr="0047021D" w:rsidRDefault="000802E2" w:rsidP="000802E2">
                  <w:pPr>
                    <w:tabs>
                      <w:tab w:val="left" w:pos="2205"/>
                    </w:tabs>
                    <w:spacing w:line="480" w:lineRule="auto"/>
                    <w:jc w:val="center"/>
                    <w:rPr>
                      <w:rFonts w:ascii="Times New Roman" w:hAnsi="Times New Roman" w:cs="Times New Roman"/>
                      <w:b/>
                      <w:bCs/>
                      <w:sz w:val="24"/>
                      <w:szCs w:val="24"/>
                    </w:rPr>
                  </w:pPr>
                  <w:r w:rsidRPr="0047021D">
                    <w:rPr>
                      <w:rFonts w:ascii="Times New Roman" w:hAnsi="Times New Roman" w:cs="Times New Roman"/>
                      <w:b/>
                      <w:bCs/>
                      <w:sz w:val="24"/>
                      <w:szCs w:val="24"/>
                    </w:rPr>
                    <w:t>Table 2:  2 x 2 Table</w:t>
                  </w:r>
                </w:p>
              </w:tc>
            </w:tr>
            <w:tr w:rsidR="000802E2" w:rsidRPr="0047021D" w14:paraId="209981B2" w14:textId="77777777" w:rsidTr="0047021D">
              <w:tc>
                <w:tcPr>
                  <w:tcW w:w="3116" w:type="dxa"/>
                </w:tcPr>
                <w:p w14:paraId="6B2A539E" w14:textId="77777777" w:rsidR="000802E2" w:rsidRPr="0047021D" w:rsidRDefault="000802E2" w:rsidP="000802E2">
                  <w:pPr>
                    <w:tabs>
                      <w:tab w:val="left" w:pos="2205"/>
                    </w:tabs>
                    <w:spacing w:line="480" w:lineRule="auto"/>
                    <w:rPr>
                      <w:rFonts w:ascii="Times New Roman" w:hAnsi="Times New Roman" w:cs="Times New Roman"/>
                      <w:sz w:val="24"/>
                      <w:szCs w:val="24"/>
                    </w:rPr>
                  </w:pPr>
                </w:p>
              </w:tc>
              <w:tc>
                <w:tcPr>
                  <w:tcW w:w="3117" w:type="dxa"/>
                </w:tcPr>
                <w:p w14:paraId="51D6C40A" w14:textId="77777777" w:rsidR="000802E2" w:rsidRPr="0047021D" w:rsidRDefault="000802E2" w:rsidP="000802E2">
                  <w:pPr>
                    <w:tabs>
                      <w:tab w:val="left" w:pos="2205"/>
                    </w:tabs>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MOLD</w:t>
                  </w:r>
                </w:p>
              </w:tc>
              <w:tc>
                <w:tcPr>
                  <w:tcW w:w="3117" w:type="dxa"/>
                </w:tcPr>
                <w:p w14:paraId="372BA659" w14:textId="77777777" w:rsidR="000802E2" w:rsidRPr="0047021D" w:rsidRDefault="000802E2" w:rsidP="000802E2">
                  <w:pPr>
                    <w:tabs>
                      <w:tab w:val="left" w:pos="2205"/>
                    </w:tabs>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NO MOLD</w:t>
                  </w:r>
                </w:p>
              </w:tc>
            </w:tr>
            <w:tr w:rsidR="000802E2" w:rsidRPr="0047021D" w14:paraId="326F8F0A" w14:textId="77777777" w:rsidTr="0047021D">
              <w:tc>
                <w:tcPr>
                  <w:tcW w:w="3116" w:type="dxa"/>
                </w:tcPr>
                <w:p w14:paraId="3C114994" w14:textId="77777777" w:rsidR="000802E2" w:rsidRPr="0047021D" w:rsidRDefault="000802E2" w:rsidP="000802E2">
                  <w:pPr>
                    <w:tabs>
                      <w:tab w:val="left" w:pos="2205"/>
                    </w:tabs>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CASES</w:t>
                  </w:r>
                </w:p>
              </w:tc>
              <w:tc>
                <w:tcPr>
                  <w:tcW w:w="3117" w:type="dxa"/>
                </w:tcPr>
                <w:p w14:paraId="7E408A47" w14:textId="77777777" w:rsidR="000802E2" w:rsidRPr="0047021D" w:rsidRDefault="000802E2" w:rsidP="000802E2">
                  <w:pPr>
                    <w:tabs>
                      <w:tab w:val="left" w:pos="2205"/>
                    </w:tabs>
                    <w:spacing w:line="480" w:lineRule="auto"/>
                    <w:rPr>
                      <w:rFonts w:ascii="Times New Roman" w:hAnsi="Times New Roman" w:cs="Times New Roman"/>
                      <w:sz w:val="24"/>
                      <w:szCs w:val="24"/>
                    </w:rPr>
                  </w:pPr>
                  <w:r w:rsidRPr="0047021D">
                    <w:rPr>
                      <w:rFonts w:ascii="Times New Roman" w:hAnsi="Times New Roman" w:cs="Times New Roman"/>
                      <w:sz w:val="24"/>
                      <w:szCs w:val="24"/>
                    </w:rPr>
                    <w:t>31%</w:t>
                  </w:r>
                </w:p>
              </w:tc>
              <w:tc>
                <w:tcPr>
                  <w:tcW w:w="3117" w:type="dxa"/>
                </w:tcPr>
                <w:p w14:paraId="0D05CBFE" w14:textId="77777777" w:rsidR="000802E2" w:rsidRPr="0047021D" w:rsidRDefault="000802E2" w:rsidP="000802E2">
                  <w:pPr>
                    <w:tabs>
                      <w:tab w:val="left" w:pos="2205"/>
                    </w:tabs>
                    <w:spacing w:line="480" w:lineRule="auto"/>
                    <w:rPr>
                      <w:rFonts w:ascii="Times New Roman" w:hAnsi="Times New Roman" w:cs="Times New Roman"/>
                      <w:sz w:val="24"/>
                      <w:szCs w:val="24"/>
                    </w:rPr>
                  </w:pPr>
                  <w:r w:rsidRPr="0047021D">
                    <w:rPr>
                      <w:rFonts w:ascii="Times New Roman" w:hAnsi="Times New Roman" w:cs="Times New Roman"/>
                      <w:sz w:val="24"/>
                      <w:szCs w:val="24"/>
                    </w:rPr>
                    <w:t>69%</w:t>
                  </w:r>
                </w:p>
              </w:tc>
            </w:tr>
            <w:tr w:rsidR="000802E2" w:rsidRPr="0047021D" w14:paraId="220625D6" w14:textId="77777777" w:rsidTr="0047021D">
              <w:tc>
                <w:tcPr>
                  <w:tcW w:w="3116" w:type="dxa"/>
                </w:tcPr>
                <w:p w14:paraId="7CCF3C36" w14:textId="77777777" w:rsidR="000802E2" w:rsidRPr="0047021D" w:rsidRDefault="000802E2" w:rsidP="000802E2">
                  <w:pPr>
                    <w:tabs>
                      <w:tab w:val="left" w:pos="2205"/>
                    </w:tabs>
                    <w:spacing w:line="480" w:lineRule="auto"/>
                    <w:rPr>
                      <w:rFonts w:ascii="Times New Roman" w:hAnsi="Times New Roman" w:cs="Times New Roman"/>
                      <w:b/>
                      <w:bCs/>
                      <w:sz w:val="24"/>
                      <w:szCs w:val="24"/>
                    </w:rPr>
                  </w:pPr>
                  <w:r w:rsidRPr="0047021D">
                    <w:rPr>
                      <w:rFonts w:ascii="Times New Roman" w:hAnsi="Times New Roman" w:cs="Times New Roman"/>
                      <w:b/>
                      <w:bCs/>
                      <w:sz w:val="24"/>
                      <w:szCs w:val="24"/>
                    </w:rPr>
                    <w:t>CONTROLS</w:t>
                  </w:r>
                </w:p>
              </w:tc>
              <w:tc>
                <w:tcPr>
                  <w:tcW w:w="3117" w:type="dxa"/>
                </w:tcPr>
                <w:p w14:paraId="3545CBB2" w14:textId="77777777" w:rsidR="000802E2" w:rsidRPr="0047021D" w:rsidRDefault="000802E2" w:rsidP="000802E2">
                  <w:pPr>
                    <w:tabs>
                      <w:tab w:val="left" w:pos="2205"/>
                    </w:tabs>
                    <w:spacing w:line="480" w:lineRule="auto"/>
                    <w:rPr>
                      <w:rFonts w:ascii="Times New Roman" w:hAnsi="Times New Roman" w:cs="Times New Roman"/>
                      <w:sz w:val="24"/>
                      <w:szCs w:val="24"/>
                    </w:rPr>
                  </w:pPr>
                  <w:r w:rsidRPr="0047021D">
                    <w:rPr>
                      <w:rFonts w:ascii="Times New Roman" w:hAnsi="Times New Roman" w:cs="Times New Roman"/>
                      <w:sz w:val="24"/>
                      <w:szCs w:val="24"/>
                    </w:rPr>
                    <w:t>27%</w:t>
                  </w:r>
                </w:p>
              </w:tc>
              <w:tc>
                <w:tcPr>
                  <w:tcW w:w="3117" w:type="dxa"/>
                </w:tcPr>
                <w:p w14:paraId="51A42AAE" w14:textId="77777777" w:rsidR="000802E2" w:rsidRPr="0047021D" w:rsidRDefault="000802E2" w:rsidP="000802E2">
                  <w:pPr>
                    <w:tabs>
                      <w:tab w:val="left" w:pos="2205"/>
                    </w:tabs>
                    <w:spacing w:line="480" w:lineRule="auto"/>
                    <w:rPr>
                      <w:rFonts w:ascii="Times New Roman" w:hAnsi="Times New Roman" w:cs="Times New Roman"/>
                      <w:sz w:val="24"/>
                      <w:szCs w:val="24"/>
                    </w:rPr>
                  </w:pPr>
                  <w:r w:rsidRPr="0047021D">
                    <w:rPr>
                      <w:rFonts w:ascii="Times New Roman" w:hAnsi="Times New Roman" w:cs="Times New Roman"/>
                      <w:sz w:val="24"/>
                      <w:szCs w:val="24"/>
                    </w:rPr>
                    <w:t>73%</w:t>
                  </w:r>
                </w:p>
              </w:tc>
            </w:tr>
          </w:tbl>
          <w:p w14:paraId="3EA2D2D2" w14:textId="77777777" w:rsidR="000802E2" w:rsidRPr="004E6645" w:rsidRDefault="000802E2" w:rsidP="00F11025">
            <w:pPr>
              <w:pStyle w:val="Normal1"/>
              <w:pBdr>
                <w:top w:val="nil"/>
                <w:left w:val="nil"/>
                <w:bottom w:val="nil"/>
                <w:right w:val="nil"/>
                <w:between w:val="nil"/>
              </w:pBdr>
              <w:spacing w:line="240" w:lineRule="auto"/>
              <w:ind w:left="450" w:hanging="450"/>
              <w:rPr>
                <w:rFonts w:ascii="Times New Roman" w:eastAsia="Calibri" w:hAnsi="Times New Roman" w:cs="Times New Roman"/>
                <w:b/>
                <w:sz w:val="24"/>
                <w:szCs w:val="24"/>
              </w:rPr>
            </w:pPr>
          </w:p>
          <w:p w14:paraId="77A1451C" w14:textId="77777777" w:rsidR="005C2191" w:rsidRPr="004E6645" w:rsidRDefault="005C2191" w:rsidP="00F11025">
            <w:pPr>
              <w:pStyle w:val="Normal1"/>
              <w:spacing w:line="240" w:lineRule="auto"/>
              <w:ind w:left="450" w:hanging="450"/>
              <w:rPr>
                <w:rFonts w:ascii="Times New Roman" w:eastAsia="Calibri" w:hAnsi="Times New Roman" w:cs="Times New Roman"/>
                <w:b/>
                <w:sz w:val="24"/>
                <w:szCs w:val="24"/>
              </w:rPr>
            </w:pPr>
          </w:p>
        </w:tc>
      </w:tr>
    </w:tbl>
    <w:p w14:paraId="76EC04E5" w14:textId="37C12D31" w:rsidR="005C2191" w:rsidRDefault="005C2191" w:rsidP="005C2191">
      <w:pPr>
        <w:rPr>
          <w:rFonts w:ascii="Cambria" w:hAnsi="Cambria"/>
          <w:sz w:val="24"/>
          <w:szCs w:val="24"/>
        </w:rPr>
      </w:pPr>
    </w:p>
    <w:p w14:paraId="08EF9210" w14:textId="62DA14E0" w:rsidR="004F2538" w:rsidRDefault="004F2538" w:rsidP="005C2191">
      <w:pPr>
        <w:rPr>
          <w:rFonts w:ascii="Cambria" w:hAnsi="Cambria"/>
          <w:sz w:val="24"/>
          <w:szCs w:val="24"/>
        </w:rPr>
      </w:pPr>
    </w:p>
    <w:p w14:paraId="635FC431" w14:textId="6BF67E70" w:rsidR="004F2538" w:rsidRDefault="004F2538" w:rsidP="005C2191">
      <w:pPr>
        <w:rPr>
          <w:rFonts w:ascii="Cambria" w:hAnsi="Cambria"/>
          <w:sz w:val="24"/>
          <w:szCs w:val="24"/>
        </w:rPr>
      </w:pPr>
    </w:p>
    <w:p w14:paraId="6A5D8B71" w14:textId="77777777" w:rsidR="004F2538" w:rsidRDefault="004F2538" w:rsidP="005C2191">
      <w:pPr>
        <w:rPr>
          <w:rFonts w:ascii="Cambria" w:hAnsi="Cambria"/>
          <w:sz w:val="24"/>
          <w:szCs w:val="24"/>
        </w:rPr>
      </w:pPr>
    </w:p>
    <w:sectPr w:rsidR="004F2538" w:rsidSect="007C1EA3">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2986" w14:textId="77777777" w:rsidR="00005B0C" w:rsidRDefault="00005B0C" w:rsidP="00623AC5">
      <w:pPr>
        <w:spacing w:after="0" w:line="240" w:lineRule="auto"/>
      </w:pPr>
      <w:r>
        <w:separator/>
      </w:r>
    </w:p>
  </w:endnote>
  <w:endnote w:type="continuationSeparator" w:id="0">
    <w:p w14:paraId="52970276" w14:textId="77777777" w:rsidR="00005B0C" w:rsidRDefault="00005B0C" w:rsidP="00623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127944"/>
      <w:docPartObj>
        <w:docPartGallery w:val="Page Numbers (Bottom of Page)"/>
        <w:docPartUnique/>
      </w:docPartObj>
    </w:sdtPr>
    <w:sdtEndPr>
      <w:rPr>
        <w:noProof/>
      </w:rPr>
    </w:sdtEndPr>
    <w:sdtContent>
      <w:p w14:paraId="29E9E0A8" w14:textId="4BCCF9C2" w:rsidR="007C1EA3" w:rsidRDefault="007C1E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E2005" w14:textId="77777777" w:rsidR="00212A2E" w:rsidRDefault="00212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259001"/>
      <w:docPartObj>
        <w:docPartGallery w:val="Page Numbers (Bottom of Page)"/>
        <w:docPartUnique/>
      </w:docPartObj>
    </w:sdtPr>
    <w:sdtEndPr>
      <w:rPr>
        <w:noProof/>
      </w:rPr>
    </w:sdtEndPr>
    <w:sdtContent>
      <w:p w14:paraId="1121AAB2" w14:textId="7650FC92" w:rsidR="007C1EA3" w:rsidRDefault="007C1E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DE0DF2" w14:textId="77777777" w:rsidR="007C1EA3" w:rsidRDefault="007C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DF164" w14:textId="77777777" w:rsidR="00005B0C" w:rsidRDefault="00005B0C" w:rsidP="00623AC5">
      <w:pPr>
        <w:spacing w:after="0" w:line="240" w:lineRule="auto"/>
      </w:pPr>
      <w:r>
        <w:separator/>
      </w:r>
    </w:p>
  </w:footnote>
  <w:footnote w:type="continuationSeparator" w:id="0">
    <w:p w14:paraId="745D1F47" w14:textId="77777777" w:rsidR="00005B0C" w:rsidRDefault="00005B0C" w:rsidP="00623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D4ED" w14:textId="77777777" w:rsidR="007C1EA3" w:rsidRPr="004E6645" w:rsidRDefault="007C1EA3" w:rsidP="007C1EA3">
    <w:pPr>
      <w:spacing w:after="0" w:line="240" w:lineRule="auto"/>
      <w:jc w:val="right"/>
      <w:rPr>
        <w:rFonts w:ascii="Times New Roman" w:eastAsia="Cambria" w:hAnsi="Times New Roman" w:cs="Times New Roman"/>
        <w:bCs/>
        <w:sz w:val="24"/>
        <w:szCs w:val="24"/>
      </w:rPr>
    </w:pPr>
    <w:r w:rsidRPr="004E6645">
      <w:rPr>
        <w:rFonts w:ascii="Times New Roman" w:eastAsia="Cambria" w:hAnsi="Times New Roman" w:cs="Times New Roman"/>
        <w:bCs/>
        <w:sz w:val="24"/>
        <w:szCs w:val="24"/>
      </w:rPr>
      <w:t>Jeanette Foxx</w:t>
    </w:r>
  </w:p>
  <w:p w14:paraId="026D93B1" w14:textId="77777777" w:rsidR="007C1EA3" w:rsidRPr="004E6645" w:rsidRDefault="007C1EA3" w:rsidP="007C1EA3">
    <w:pPr>
      <w:spacing w:after="0" w:line="240" w:lineRule="auto"/>
      <w:jc w:val="right"/>
      <w:rPr>
        <w:rFonts w:ascii="Times New Roman" w:eastAsia="Cambria" w:hAnsi="Times New Roman" w:cs="Times New Roman"/>
        <w:bCs/>
        <w:sz w:val="24"/>
        <w:szCs w:val="24"/>
      </w:rPr>
    </w:pPr>
    <w:r w:rsidRPr="004E6645">
      <w:rPr>
        <w:rFonts w:ascii="Times New Roman" w:eastAsia="Cambria" w:hAnsi="Times New Roman" w:cs="Times New Roman"/>
        <w:bCs/>
        <w:sz w:val="24"/>
        <w:szCs w:val="24"/>
      </w:rPr>
      <w:t>April 30, 2020</w:t>
    </w:r>
  </w:p>
  <w:p w14:paraId="40C7B010" w14:textId="77777777" w:rsidR="007C1EA3" w:rsidRPr="004E6645" w:rsidRDefault="007C1EA3" w:rsidP="007C1EA3">
    <w:pPr>
      <w:spacing w:after="0" w:line="240" w:lineRule="auto"/>
      <w:jc w:val="right"/>
      <w:rPr>
        <w:rFonts w:ascii="Times New Roman" w:hAnsi="Times New Roman" w:cs="Times New Roman"/>
        <w:bCs/>
        <w:sz w:val="24"/>
        <w:szCs w:val="24"/>
      </w:rPr>
    </w:pPr>
    <w:r w:rsidRPr="004E6645">
      <w:rPr>
        <w:rFonts w:ascii="Times New Roman" w:eastAsia="Cambria" w:hAnsi="Times New Roman" w:cs="Times New Roman"/>
        <w:bCs/>
        <w:sz w:val="24"/>
        <w:szCs w:val="24"/>
      </w:rPr>
      <w:t>MPH 616</w:t>
    </w:r>
  </w:p>
  <w:p w14:paraId="0B318994" w14:textId="77777777" w:rsidR="007C1EA3" w:rsidRDefault="007C1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11245"/>
    <w:multiLevelType w:val="hybridMultilevel"/>
    <w:tmpl w:val="99DAE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D7C6F"/>
    <w:multiLevelType w:val="hybridMultilevel"/>
    <w:tmpl w:val="3760CC94"/>
    <w:lvl w:ilvl="0" w:tplc="07268E6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932DA"/>
    <w:multiLevelType w:val="hybridMultilevel"/>
    <w:tmpl w:val="F8A20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D799D"/>
    <w:multiLevelType w:val="hybridMultilevel"/>
    <w:tmpl w:val="7EF4F9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5081C"/>
    <w:multiLevelType w:val="hybridMultilevel"/>
    <w:tmpl w:val="A79A4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253CC"/>
    <w:multiLevelType w:val="hybridMultilevel"/>
    <w:tmpl w:val="DC9A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601B1"/>
    <w:multiLevelType w:val="hybridMultilevel"/>
    <w:tmpl w:val="96E8CB1A"/>
    <w:lvl w:ilvl="0" w:tplc="251A9B7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4266BF6"/>
    <w:multiLevelType w:val="multilevel"/>
    <w:tmpl w:val="33387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911E51"/>
    <w:multiLevelType w:val="hybridMultilevel"/>
    <w:tmpl w:val="9602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B55BF"/>
    <w:multiLevelType w:val="hybridMultilevel"/>
    <w:tmpl w:val="3B4EA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85608"/>
    <w:multiLevelType w:val="hybridMultilevel"/>
    <w:tmpl w:val="5C72F2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70E5BFC"/>
    <w:multiLevelType w:val="hybridMultilevel"/>
    <w:tmpl w:val="F82C4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810427"/>
    <w:multiLevelType w:val="hybridMultilevel"/>
    <w:tmpl w:val="19DC82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B54A4"/>
    <w:multiLevelType w:val="hybridMultilevel"/>
    <w:tmpl w:val="636A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24E6A"/>
    <w:multiLevelType w:val="hybridMultilevel"/>
    <w:tmpl w:val="04B623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0FD5CD3"/>
    <w:multiLevelType w:val="hybridMultilevel"/>
    <w:tmpl w:val="BE381CF0"/>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6A747BB"/>
    <w:multiLevelType w:val="hybridMultilevel"/>
    <w:tmpl w:val="40265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C7452"/>
    <w:multiLevelType w:val="hybridMultilevel"/>
    <w:tmpl w:val="64520B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5"/>
  </w:num>
  <w:num w:numId="5">
    <w:abstractNumId w:val="13"/>
  </w:num>
  <w:num w:numId="6">
    <w:abstractNumId w:val="10"/>
  </w:num>
  <w:num w:numId="7">
    <w:abstractNumId w:val="9"/>
  </w:num>
  <w:num w:numId="8">
    <w:abstractNumId w:val="1"/>
  </w:num>
  <w:num w:numId="9">
    <w:abstractNumId w:val="7"/>
  </w:num>
  <w:num w:numId="10">
    <w:abstractNumId w:val="6"/>
  </w:num>
  <w:num w:numId="11">
    <w:abstractNumId w:val="14"/>
  </w:num>
  <w:num w:numId="12">
    <w:abstractNumId w:val="3"/>
  </w:num>
  <w:num w:numId="13">
    <w:abstractNumId w:val="16"/>
  </w:num>
  <w:num w:numId="14">
    <w:abstractNumId w:val="15"/>
  </w:num>
  <w:num w:numId="15">
    <w:abstractNumId w:val="4"/>
  </w:num>
  <w:num w:numId="16">
    <w:abstractNumId w:val="17"/>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7QwszQysjA3MrRQ0lEKTi0uzszPAykwrAUA1X0+EywAAAA="/>
  </w:docVars>
  <w:rsids>
    <w:rsidRoot w:val="00623AC5"/>
    <w:rsid w:val="00002AE2"/>
    <w:rsid w:val="000034F1"/>
    <w:rsid w:val="00005B0C"/>
    <w:rsid w:val="00024B21"/>
    <w:rsid w:val="00034C04"/>
    <w:rsid w:val="0004173F"/>
    <w:rsid w:val="00047368"/>
    <w:rsid w:val="000477CA"/>
    <w:rsid w:val="0005076E"/>
    <w:rsid w:val="000571E9"/>
    <w:rsid w:val="00064365"/>
    <w:rsid w:val="000673B9"/>
    <w:rsid w:val="000730E9"/>
    <w:rsid w:val="000800CB"/>
    <w:rsid w:val="000802E2"/>
    <w:rsid w:val="00086753"/>
    <w:rsid w:val="00094620"/>
    <w:rsid w:val="000A35A1"/>
    <w:rsid w:val="000C2024"/>
    <w:rsid w:val="000C4E70"/>
    <w:rsid w:val="000C66F1"/>
    <w:rsid w:val="000C740A"/>
    <w:rsid w:val="000D28A2"/>
    <w:rsid w:val="000D5686"/>
    <w:rsid w:val="000E3B01"/>
    <w:rsid w:val="00102007"/>
    <w:rsid w:val="00105901"/>
    <w:rsid w:val="00106703"/>
    <w:rsid w:val="00126AB6"/>
    <w:rsid w:val="00127482"/>
    <w:rsid w:val="00133ADB"/>
    <w:rsid w:val="00141B90"/>
    <w:rsid w:val="00142353"/>
    <w:rsid w:val="00144A17"/>
    <w:rsid w:val="00160934"/>
    <w:rsid w:val="00165B03"/>
    <w:rsid w:val="00180611"/>
    <w:rsid w:val="00180A5C"/>
    <w:rsid w:val="0018370A"/>
    <w:rsid w:val="00186783"/>
    <w:rsid w:val="00196E97"/>
    <w:rsid w:val="001A2625"/>
    <w:rsid w:val="001B2F0C"/>
    <w:rsid w:val="001B48D3"/>
    <w:rsid w:val="001B7058"/>
    <w:rsid w:val="001C379B"/>
    <w:rsid w:val="001D0484"/>
    <w:rsid w:val="001D5842"/>
    <w:rsid w:val="001F0182"/>
    <w:rsid w:val="001F044D"/>
    <w:rsid w:val="001F5F72"/>
    <w:rsid w:val="002060B2"/>
    <w:rsid w:val="002104FB"/>
    <w:rsid w:val="00212A2E"/>
    <w:rsid w:val="002145E5"/>
    <w:rsid w:val="00217005"/>
    <w:rsid w:val="00222626"/>
    <w:rsid w:val="00230864"/>
    <w:rsid w:val="00235180"/>
    <w:rsid w:val="00236A28"/>
    <w:rsid w:val="002462F6"/>
    <w:rsid w:val="002532C0"/>
    <w:rsid w:val="00257B3F"/>
    <w:rsid w:val="00260FDE"/>
    <w:rsid w:val="00281DA1"/>
    <w:rsid w:val="00283799"/>
    <w:rsid w:val="00287482"/>
    <w:rsid w:val="0029063E"/>
    <w:rsid w:val="002947E5"/>
    <w:rsid w:val="00295938"/>
    <w:rsid w:val="002A206F"/>
    <w:rsid w:val="002B375B"/>
    <w:rsid w:val="002D04EB"/>
    <w:rsid w:val="002D3EAC"/>
    <w:rsid w:val="002D629A"/>
    <w:rsid w:val="002E0DAB"/>
    <w:rsid w:val="002E3B69"/>
    <w:rsid w:val="00304836"/>
    <w:rsid w:val="0030579B"/>
    <w:rsid w:val="0031146B"/>
    <w:rsid w:val="0031606C"/>
    <w:rsid w:val="00324ED6"/>
    <w:rsid w:val="00340BFA"/>
    <w:rsid w:val="00340C95"/>
    <w:rsid w:val="0034589A"/>
    <w:rsid w:val="003508A4"/>
    <w:rsid w:val="00354308"/>
    <w:rsid w:val="00354B4C"/>
    <w:rsid w:val="00377DC5"/>
    <w:rsid w:val="003832FE"/>
    <w:rsid w:val="003868F3"/>
    <w:rsid w:val="003944EC"/>
    <w:rsid w:val="0039783A"/>
    <w:rsid w:val="00397F92"/>
    <w:rsid w:val="003A21A0"/>
    <w:rsid w:val="003A400B"/>
    <w:rsid w:val="003A5FE0"/>
    <w:rsid w:val="003A6EED"/>
    <w:rsid w:val="003A7A15"/>
    <w:rsid w:val="003C47CD"/>
    <w:rsid w:val="003E29B7"/>
    <w:rsid w:val="003E29F5"/>
    <w:rsid w:val="003E46A2"/>
    <w:rsid w:val="003E725B"/>
    <w:rsid w:val="003F7E02"/>
    <w:rsid w:val="00403C8E"/>
    <w:rsid w:val="00412C3E"/>
    <w:rsid w:val="00414DB4"/>
    <w:rsid w:val="00423892"/>
    <w:rsid w:val="00423FB2"/>
    <w:rsid w:val="0042662B"/>
    <w:rsid w:val="00434E15"/>
    <w:rsid w:val="0043581E"/>
    <w:rsid w:val="00444EC0"/>
    <w:rsid w:val="00445388"/>
    <w:rsid w:val="004476C6"/>
    <w:rsid w:val="004548BF"/>
    <w:rsid w:val="00455304"/>
    <w:rsid w:val="00467645"/>
    <w:rsid w:val="0047021D"/>
    <w:rsid w:val="004746E5"/>
    <w:rsid w:val="00490A98"/>
    <w:rsid w:val="004951BD"/>
    <w:rsid w:val="004974D7"/>
    <w:rsid w:val="004A7156"/>
    <w:rsid w:val="004E587E"/>
    <w:rsid w:val="004E6645"/>
    <w:rsid w:val="004E686D"/>
    <w:rsid w:val="004F2538"/>
    <w:rsid w:val="004F2D64"/>
    <w:rsid w:val="004F7B16"/>
    <w:rsid w:val="00502AD0"/>
    <w:rsid w:val="00507563"/>
    <w:rsid w:val="00513F9A"/>
    <w:rsid w:val="0052634C"/>
    <w:rsid w:val="00532BA8"/>
    <w:rsid w:val="00533C1F"/>
    <w:rsid w:val="00545F22"/>
    <w:rsid w:val="00556FAD"/>
    <w:rsid w:val="005643CF"/>
    <w:rsid w:val="00572509"/>
    <w:rsid w:val="005950E1"/>
    <w:rsid w:val="00596631"/>
    <w:rsid w:val="005A1B32"/>
    <w:rsid w:val="005B3874"/>
    <w:rsid w:val="005B7A4F"/>
    <w:rsid w:val="005C2191"/>
    <w:rsid w:val="005C3BBA"/>
    <w:rsid w:val="005C7DE9"/>
    <w:rsid w:val="005D1F6F"/>
    <w:rsid w:val="005D24A7"/>
    <w:rsid w:val="005D453B"/>
    <w:rsid w:val="005E2D40"/>
    <w:rsid w:val="005E3787"/>
    <w:rsid w:val="005E42E8"/>
    <w:rsid w:val="005E487A"/>
    <w:rsid w:val="00602F78"/>
    <w:rsid w:val="00604DEC"/>
    <w:rsid w:val="00612339"/>
    <w:rsid w:val="006161B6"/>
    <w:rsid w:val="006206EA"/>
    <w:rsid w:val="006239CF"/>
    <w:rsid w:val="00623AC5"/>
    <w:rsid w:val="0063266E"/>
    <w:rsid w:val="0063333C"/>
    <w:rsid w:val="00633E4D"/>
    <w:rsid w:val="00635694"/>
    <w:rsid w:val="006428FF"/>
    <w:rsid w:val="00652766"/>
    <w:rsid w:val="00655228"/>
    <w:rsid w:val="00662702"/>
    <w:rsid w:val="0067047C"/>
    <w:rsid w:val="00672274"/>
    <w:rsid w:val="006858E1"/>
    <w:rsid w:val="00692F73"/>
    <w:rsid w:val="006B0B0F"/>
    <w:rsid w:val="006B305B"/>
    <w:rsid w:val="006B424C"/>
    <w:rsid w:val="006B66AB"/>
    <w:rsid w:val="006B72E7"/>
    <w:rsid w:val="006C2557"/>
    <w:rsid w:val="006D1C1B"/>
    <w:rsid w:val="006D23A4"/>
    <w:rsid w:val="006D306F"/>
    <w:rsid w:val="006D7E32"/>
    <w:rsid w:val="006E1AE2"/>
    <w:rsid w:val="006E397A"/>
    <w:rsid w:val="006E4E27"/>
    <w:rsid w:val="006F41AC"/>
    <w:rsid w:val="00704B6D"/>
    <w:rsid w:val="00705814"/>
    <w:rsid w:val="00706C51"/>
    <w:rsid w:val="00707F5B"/>
    <w:rsid w:val="00717FA6"/>
    <w:rsid w:val="007220E1"/>
    <w:rsid w:val="00722F35"/>
    <w:rsid w:val="00726FED"/>
    <w:rsid w:val="00731B76"/>
    <w:rsid w:val="00731D1B"/>
    <w:rsid w:val="00733890"/>
    <w:rsid w:val="00744742"/>
    <w:rsid w:val="0074767D"/>
    <w:rsid w:val="007648A9"/>
    <w:rsid w:val="0076687B"/>
    <w:rsid w:val="00773EA5"/>
    <w:rsid w:val="0077513E"/>
    <w:rsid w:val="007816BE"/>
    <w:rsid w:val="007A4FFD"/>
    <w:rsid w:val="007A691D"/>
    <w:rsid w:val="007B5108"/>
    <w:rsid w:val="007B5C1F"/>
    <w:rsid w:val="007B6181"/>
    <w:rsid w:val="007B7E62"/>
    <w:rsid w:val="007C1EA3"/>
    <w:rsid w:val="007C37A8"/>
    <w:rsid w:val="007D1073"/>
    <w:rsid w:val="007E1E19"/>
    <w:rsid w:val="007E49EF"/>
    <w:rsid w:val="007F16E1"/>
    <w:rsid w:val="0080054E"/>
    <w:rsid w:val="0080588C"/>
    <w:rsid w:val="008219E8"/>
    <w:rsid w:val="00822487"/>
    <w:rsid w:val="00823226"/>
    <w:rsid w:val="008319CF"/>
    <w:rsid w:val="0083449F"/>
    <w:rsid w:val="00841C62"/>
    <w:rsid w:val="00870B69"/>
    <w:rsid w:val="00877400"/>
    <w:rsid w:val="00883216"/>
    <w:rsid w:val="00885317"/>
    <w:rsid w:val="0089415C"/>
    <w:rsid w:val="00895E0B"/>
    <w:rsid w:val="008A6334"/>
    <w:rsid w:val="008B7D73"/>
    <w:rsid w:val="008C0E91"/>
    <w:rsid w:val="008D359A"/>
    <w:rsid w:val="008E20C2"/>
    <w:rsid w:val="008F5C8C"/>
    <w:rsid w:val="00907D09"/>
    <w:rsid w:val="00923DA9"/>
    <w:rsid w:val="00934785"/>
    <w:rsid w:val="00941325"/>
    <w:rsid w:val="0094343D"/>
    <w:rsid w:val="00963F46"/>
    <w:rsid w:val="00972C06"/>
    <w:rsid w:val="0098140E"/>
    <w:rsid w:val="00992851"/>
    <w:rsid w:val="009A49FF"/>
    <w:rsid w:val="009B03F4"/>
    <w:rsid w:val="009B3BF9"/>
    <w:rsid w:val="009B3FEA"/>
    <w:rsid w:val="009B4657"/>
    <w:rsid w:val="009C3D08"/>
    <w:rsid w:val="009D17D2"/>
    <w:rsid w:val="009D6267"/>
    <w:rsid w:val="009E647F"/>
    <w:rsid w:val="009E755E"/>
    <w:rsid w:val="009F481C"/>
    <w:rsid w:val="00A06A25"/>
    <w:rsid w:val="00A074B1"/>
    <w:rsid w:val="00A106C2"/>
    <w:rsid w:val="00A246CD"/>
    <w:rsid w:val="00A3217B"/>
    <w:rsid w:val="00A46D1A"/>
    <w:rsid w:val="00A5730B"/>
    <w:rsid w:val="00A62C17"/>
    <w:rsid w:val="00A70920"/>
    <w:rsid w:val="00A74A27"/>
    <w:rsid w:val="00A92EBD"/>
    <w:rsid w:val="00AA40D7"/>
    <w:rsid w:val="00AA4BB5"/>
    <w:rsid w:val="00AA5E98"/>
    <w:rsid w:val="00AA7EBF"/>
    <w:rsid w:val="00AB0D8D"/>
    <w:rsid w:val="00AB56AF"/>
    <w:rsid w:val="00AB6A45"/>
    <w:rsid w:val="00AC271E"/>
    <w:rsid w:val="00AC3866"/>
    <w:rsid w:val="00AC5302"/>
    <w:rsid w:val="00AD7B93"/>
    <w:rsid w:val="00AE1537"/>
    <w:rsid w:val="00AE366C"/>
    <w:rsid w:val="00AE4D81"/>
    <w:rsid w:val="00AE623D"/>
    <w:rsid w:val="00AF14C0"/>
    <w:rsid w:val="00AF44E5"/>
    <w:rsid w:val="00AF6C04"/>
    <w:rsid w:val="00B065B4"/>
    <w:rsid w:val="00B1534B"/>
    <w:rsid w:val="00B16A1B"/>
    <w:rsid w:val="00B2237C"/>
    <w:rsid w:val="00B236FE"/>
    <w:rsid w:val="00B4160B"/>
    <w:rsid w:val="00B41F0E"/>
    <w:rsid w:val="00B42282"/>
    <w:rsid w:val="00B44E0B"/>
    <w:rsid w:val="00B46D03"/>
    <w:rsid w:val="00B479AC"/>
    <w:rsid w:val="00B53858"/>
    <w:rsid w:val="00B53C9E"/>
    <w:rsid w:val="00B638D8"/>
    <w:rsid w:val="00B72558"/>
    <w:rsid w:val="00B72EBF"/>
    <w:rsid w:val="00B93C5C"/>
    <w:rsid w:val="00B95855"/>
    <w:rsid w:val="00B967F3"/>
    <w:rsid w:val="00BA58D7"/>
    <w:rsid w:val="00BA59BC"/>
    <w:rsid w:val="00BB034B"/>
    <w:rsid w:val="00BB38BF"/>
    <w:rsid w:val="00BE21AE"/>
    <w:rsid w:val="00BF0A5C"/>
    <w:rsid w:val="00BF1BA7"/>
    <w:rsid w:val="00BF1E1A"/>
    <w:rsid w:val="00BF3355"/>
    <w:rsid w:val="00C070C9"/>
    <w:rsid w:val="00C23535"/>
    <w:rsid w:val="00C331AA"/>
    <w:rsid w:val="00C35113"/>
    <w:rsid w:val="00C429CD"/>
    <w:rsid w:val="00C454C1"/>
    <w:rsid w:val="00C627D8"/>
    <w:rsid w:val="00C701F8"/>
    <w:rsid w:val="00C70906"/>
    <w:rsid w:val="00C7401B"/>
    <w:rsid w:val="00C854AC"/>
    <w:rsid w:val="00C867AC"/>
    <w:rsid w:val="00C86D1E"/>
    <w:rsid w:val="00CA10D7"/>
    <w:rsid w:val="00CA4D29"/>
    <w:rsid w:val="00CC3157"/>
    <w:rsid w:val="00CC628F"/>
    <w:rsid w:val="00CD3095"/>
    <w:rsid w:val="00CE189F"/>
    <w:rsid w:val="00CE5D9A"/>
    <w:rsid w:val="00CF59C9"/>
    <w:rsid w:val="00CF6BF1"/>
    <w:rsid w:val="00D001FF"/>
    <w:rsid w:val="00D12272"/>
    <w:rsid w:val="00D22EB3"/>
    <w:rsid w:val="00D27677"/>
    <w:rsid w:val="00D316E1"/>
    <w:rsid w:val="00D47121"/>
    <w:rsid w:val="00D531D7"/>
    <w:rsid w:val="00D55CCD"/>
    <w:rsid w:val="00D55E2F"/>
    <w:rsid w:val="00D57A93"/>
    <w:rsid w:val="00D57CB2"/>
    <w:rsid w:val="00D63D8B"/>
    <w:rsid w:val="00D7235A"/>
    <w:rsid w:val="00D80BED"/>
    <w:rsid w:val="00DB6AC5"/>
    <w:rsid w:val="00DC0944"/>
    <w:rsid w:val="00DC3A58"/>
    <w:rsid w:val="00DC4B6C"/>
    <w:rsid w:val="00DC652A"/>
    <w:rsid w:val="00DD7387"/>
    <w:rsid w:val="00DE07DC"/>
    <w:rsid w:val="00DE15DE"/>
    <w:rsid w:val="00DE5317"/>
    <w:rsid w:val="00DE5E75"/>
    <w:rsid w:val="00DF31C7"/>
    <w:rsid w:val="00E01AE9"/>
    <w:rsid w:val="00E05A50"/>
    <w:rsid w:val="00E0692B"/>
    <w:rsid w:val="00E127C2"/>
    <w:rsid w:val="00E14105"/>
    <w:rsid w:val="00E24DC0"/>
    <w:rsid w:val="00E36D40"/>
    <w:rsid w:val="00E45312"/>
    <w:rsid w:val="00E57E11"/>
    <w:rsid w:val="00E60B65"/>
    <w:rsid w:val="00E74A17"/>
    <w:rsid w:val="00E85E10"/>
    <w:rsid w:val="00EA1EDF"/>
    <w:rsid w:val="00EC131B"/>
    <w:rsid w:val="00EC46A2"/>
    <w:rsid w:val="00EC64FA"/>
    <w:rsid w:val="00ED01D3"/>
    <w:rsid w:val="00ED6703"/>
    <w:rsid w:val="00ED77D7"/>
    <w:rsid w:val="00ED7FA1"/>
    <w:rsid w:val="00EE37C6"/>
    <w:rsid w:val="00EE7131"/>
    <w:rsid w:val="00EF13F2"/>
    <w:rsid w:val="00EF4FDD"/>
    <w:rsid w:val="00EF7D30"/>
    <w:rsid w:val="00EF7F2D"/>
    <w:rsid w:val="00F2086F"/>
    <w:rsid w:val="00F22700"/>
    <w:rsid w:val="00F23035"/>
    <w:rsid w:val="00F2419E"/>
    <w:rsid w:val="00F30E09"/>
    <w:rsid w:val="00F33B23"/>
    <w:rsid w:val="00F360BA"/>
    <w:rsid w:val="00F42B87"/>
    <w:rsid w:val="00F673D0"/>
    <w:rsid w:val="00F81AD3"/>
    <w:rsid w:val="00F877BE"/>
    <w:rsid w:val="00F87EED"/>
    <w:rsid w:val="00F90436"/>
    <w:rsid w:val="00FA3F49"/>
    <w:rsid w:val="00FB14E1"/>
    <w:rsid w:val="00FB6464"/>
    <w:rsid w:val="00FC1599"/>
    <w:rsid w:val="00FC1EDE"/>
    <w:rsid w:val="00FC2B25"/>
    <w:rsid w:val="00FC3BB8"/>
    <w:rsid w:val="00FD4FBC"/>
    <w:rsid w:val="00FE3602"/>
    <w:rsid w:val="00FE4ED5"/>
    <w:rsid w:val="00FE61C1"/>
    <w:rsid w:val="00FF0F61"/>
    <w:rsid w:val="00FF29E4"/>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5812"/>
  <w15:chartTrackingRefBased/>
  <w15:docId w15:val="{0D6CC891-DA0B-4E1D-9E66-F0946431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AC5"/>
  </w:style>
  <w:style w:type="paragraph" w:styleId="Footer">
    <w:name w:val="footer"/>
    <w:basedOn w:val="Normal"/>
    <w:link w:val="FooterChar"/>
    <w:uiPriority w:val="99"/>
    <w:unhideWhenUsed/>
    <w:rsid w:val="00623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AC5"/>
  </w:style>
  <w:style w:type="character" w:styleId="Hyperlink">
    <w:name w:val="Hyperlink"/>
    <w:basedOn w:val="DefaultParagraphFont"/>
    <w:uiPriority w:val="99"/>
    <w:unhideWhenUsed/>
    <w:rsid w:val="007F16E1"/>
    <w:rPr>
      <w:color w:val="0563C1" w:themeColor="hyperlink"/>
      <w:u w:val="single"/>
    </w:rPr>
  </w:style>
  <w:style w:type="character" w:styleId="UnresolvedMention">
    <w:name w:val="Unresolved Mention"/>
    <w:basedOn w:val="DefaultParagraphFont"/>
    <w:uiPriority w:val="99"/>
    <w:semiHidden/>
    <w:unhideWhenUsed/>
    <w:rsid w:val="007F16E1"/>
    <w:rPr>
      <w:color w:val="605E5C"/>
      <w:shd w:val="clear" w:color="auto" w:fill="E1DFDD"/>
    </w:rPr>
  </w:style>
  <w:style w:type="paragraph" w:styleId="ListParagraph">
    <w:name w:val="List Paragraph"/>
    <w:basedOn w:val="Normal"/>
    <w:uiPriority w:val="34"/>
    <w:qFormat/>
    <w:rsid w:val="00444EC0"/>
    <w:pPr>
      <w:ind w:left="720"/>
      <w:contextualSpacing/>
    </w:pPr>
  </w:style>
  <w:style w:type="paragraph" w:customStyle="1" w:styleId="Default">
    <w:name w:val="Default"/>
    <w:rsid w:val="004F7B1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66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_List"/>
    <w:basedOn w:val="ListParagraph"/>
    <w:qFormat/>
    <w:rsid w:val="00ED77D7"/>
    <w:pPr>
      <w:numPr>
        <w:numId w:val="8"/>
      </w:numPr>
      <w:autoSpaceDE w:val="0"/>
      <w:autoSpaceDN w:val="0"/>
      <w:adjustRightInd w:val="0"/>
      <w:spacing w:after="0" w:line="360" w:lineRule="auto"/>
    </w:pPr>
    <w:rPr>
      <w:rFonts w:ascii="Times New Roman" w:hAnsi="Times New Roman" w:cs="Times New Roman"/>
      <w:sz w:val="24"/>
      <w:szCs w:val="24"/>
    </w:rPr>
  </w:style>
  <w:style w:type="paragraph" w:customStyle="1" w:styleId="Normal1">
    <w:name w:val="Normal1"/>
    <w:rsid w:val="007816BE"/>
    <w:pPr>
      <w:spacing w:after="0" w:line="276" w:lineRule="auto"/>
    </w:pPr>
    <w:rPr>
      <w:rFonts w:ascii="Arial" w:eastAsia="Arial" w:hAnsi="Arial" w:cs="Arial"/>
      <w:lang w:val="en"/>
    </w:rPr>
  </w:style>
  <w:style w:type="character" w:styleId="FollowedHyperlink">
    <w:name w:val="FollowedHyperlink"/>
    <w:basedOn w:val="DefaultParagraphFont"/>
    <w:uiPriority w:val="99"/>
    <w:semiHidden/>
    <w:unhideWhenUsed/>
    <w:rsid w:val="00080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12970">
      <w:bodyDiv w:val="1"/>
      <w:marLeft w:val="0"/>
      <w:marRight w:val="0"/>
      <w:marTop w:val="0"/>
      <w:marBottom w:val="0"/>
      <w:divBdr>
        <w:top w:val="none" w:sz="0" w:space="0" w:color="auto"/>
        <w:left w:val="none" w:sz="0" w:space="0" w:color="auto"/>
        <w:bottom w:val="none" w:sz="0" w:space="0" w:color="auto"/>
        <w:right w:val="none" w:sz="0" w:space="0" w:color="auto"/>
      </w:divBdr>
    </w:div>
    <w:div w:id="14595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proxy.lib.odu.edu/10.1155/2018/935037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proxy.lib.odu.edu/10.1177/10598405155790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EE3ECB74B2F49BCEFD559F670ADED" ma:contentTypeVersion="12" ma:contentTypeDescription="Create a new document." ma:contentTypeScope="" ma:versionID="ae601d42702410b1731f425a4b7c9152">
  <xsd:schema xmlns:xsd="http://www.w3.org/2001/XMLSchema" xmlns:xs="http://www.w3.org/2001/XMLSchema" xmlns:p="http://schemas.microsoft.com/office/2006/metadata/properties" xmlns:ns3="d4f4061a-4145-439f-90b6-c65ad7f5487e" xmlns:ns4="e2d374a6-a221-4430-bfcd-d8059b13d4a7" targetNamespace="http://schemas.microsoft.com/office/2006/metadata/properties" ma:root="true" ma:fieldsID="4d4177c9754489dd5e4dd3356161ac1a" ns3:_="" ns4:_="">
    <xsd:import namespace="d4f4061a-4145-439f-90b6-c65ad7f5487e"/>
    <xsd:import namespace="e2d374a6-a221-4430-bfcd-d8059b13d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4061a-4145-439f-90b6-c65ad7f54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74a6-a221-4430-bfcd-d8059b13d4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BF68F-F536-42A0-9516-9E261C004D93}">
  <ds:schemaRefs>
    <ds:schemaRef ds:uri="http://schemas.microsoft.com/sharepoint/v3/contenttype/forms"/>
  </ds:schemaRefs>
</ds:datastoreItem>
</file>

<file path=customXml/itemProps2.xml><?xml version="1.0" encoding="utf-8"?>
<ds:datastoreItem xmlns:ds="http://schemas.openxmlformats.org/officeDocument/2006/customXml" ds:itemID="{3BBCD38B-4805-4D9A-862F-2C7DD26246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24EF1D-5F4E-434F-9535-3EE560D89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4061a-4145-439f-90b6-c65ad7f5487e"/>
    <ds:schemaRef ds:uri="e2d374a6-a221-4430-bfcd-d8059b13d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Galadima, Hadiza</dc:creator>
  <cp:keywords/>
  <dc:description/>
  <cp:lastModifiedBy>Foxx, Jeanette</cp:lastModifiedBy>
  <cp:revision>2</cp:revision>
  <dcterms:created xsi:type="dcterms:W3CDTF">2022-03-21T18:48:00Z</dcterms:created>
  <dcterms:modified xsi:type="dcterms:W3CDTF">2022-03-21T18:48:00Z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0x01010090DEE3ECB74B2F49BCEFD559F670ADED</vt:lpwstr>
  </property>
</Properties>
</file>