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
                <a:graphic>
                  <a:graphicData uri="http://schemas.microsoft.com/office/word/2010/wordprocessingShape">
                    <wps:wsp>
                      <wps:cNvSpPr/>
                      <wps:cNvPr id="3" name="Shape 3"/>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          </w:t>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
                <a:graphic>
                  <a:graphicData uri="http://schemas.microsoft.com/office/word/2010/wordprocessingShape">
                    <wps:wsp>
                      <wps:cNvSpPr/>
                      <wps:cNvPr id="4" name="Shape 4"/>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Mid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
                <a:graphic>
                  <a:graphicData uri="http://schemas.microsoft.com/office/word/2010/wordprocessingShape">
                    <wps:wsp>
                      <wps:cNvSpPr/>
                      <wps:cNvPr id="2" name="Shape 2"/>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39435</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 </w:t>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tl w:val="0"/>
        </w:rPr>
      </w:r>
    </w:p>
    <w:p w:rsidR="00000000" w:rsidDel="00000000" w:rsidP="00000000" w:rsidRDefault="00000000" w:rsidRPr="00000000" w14:paraId="00000013">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MID</w:t>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-29669</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NCSSFL-ACTFL Can-Do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italicized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are followed by specific Can-Do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illustrate and make transparent what such expectations might look like. Benchmarks and indicators are aligned to ACTFL proficiency levels and sublevels and as such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modified. The blank can-do statement is designed for that purpose – to personalize learning targets that illustrate your language skills and performance.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statement should be assessed separately to identify a level of proficiency.</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B">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4">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interpretive mode*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interpersonal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B">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
                <a:graphic>
                  <a:graphicData uri="http://schemas.microsoft.com/office/word/2010/wordprocessingShape">
                    <wps:wsp>
                      <wps:cNvCnPr/>
                      <wps:spPr>
                        <a:xfrm>
                          <a:off x="3593400" y="3780000"/>
                          <a:ext cx="3505200" cy="0"/>
                        </a:xfrm>
                        <a:prstGeom prst="straightConnector1">
                          <a:avLst/>
                        </a:prstGeom>
                        <a:noFill/>
                        <a:ln cap="flat" cmpd="sng" w="9525">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C">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D">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text complexity or length</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familiarity with topic and background</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1">
      <w:pPr>
        <w:spacing w:after="0" w:line="240" w:lineRule="auto"/>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55069</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33">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MID</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744"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40">
            <w:pPr>
              <w:spacing w:after="0" w:line="240" w:lineRule="auto"/>
              <w:rPr>
                <w:b w:val="1"/>
                <w:color w:val="0070c0"/>
                <w:sz w:val="4"/>
                <w:szCs w:val="4"/>
              </w:rPr>
            </w:pPr>
            <w:r w:rsidDel="00000000" w:rsidR="00000000" w:rsidRPr="00000000">
              <w:rPr>
                <w:b w:val="1"/>
                <w:color w:val="000000"/>
                <w:sz w:val="20"/>
                <w:szCs w:val="20"/>
                <w:rtl w:val="0"/>
              </w:rPr>
              <w:t xml:space="preserve">I can identify some basic facts from memorized or familiar words and phrases when they are supported by gestures or visuals in informational texts.</w:t>
            </w: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41">
            <w:pPr>
              <w:tabs>
                <w:tab w:val="left" w:leader="none" w:pos="5850"/>
              </w:tabs>
              <w:spacing w:after="0" w:lineRule="auto"/>
              <w:ind w:left="30" w:firstLine="0"/>
              <w:rPr>
                <w:rFonts w:ascii="Calibri" w:cs="Calibri" w:eastAsia="Calibri" w:hAnsi="Calibri"/>
                <w:b w:val="1"/>
                <w:color w:val="0070c0"/>
                <w:sz w:val="20"/>
                <w:szCs w:val="20"/>
              </w:rPr>
            </w:pPr>
            <w:r w:rsidDel="00000000" w:rsidR="00000000" w:rsidRPr="00000000">
              <w:rPr>
                <w:rFonts w:ascii="Calibri" w:cs="Calibri" w:eastAsia="Calibri" w:hAnsi="Calibri"/>
                <w:b w:val="1"/>
                <w:color w:val="0070c0"/>
                <w:sz w:val="20"/>
                <w:szCs w:val="20"/>
                <w:rtl w:val="0"/>
              </w:rPr>
              <w:t xml:space="preserve">Examples</w:t>
            </w:r>
          </w:p>
          <w:p w:rsidR="00000000" w:rsidDel="00000000" w:rsidP="00000000" w:rsidRDefault="00000000" w:rsidRPr="00000000" w14:paraId="00000042">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can_________________ </w:t>
            </w:r>
          </w:p>
          <w:p w:rsidR="00000000" w:rsidDel="00000000" w:rsidP="00000000" w:rsidRDefault="00000000" w:rsidRPr="00000000" w14:paraId="00000043">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time announced for a store closing.</w:t>
            </w:r>
          </w:p>
          <w:p w:rsidR="00000000" w:rsidDel="00000000" w:rsidP="00000000" w:rsidRDefault="00000000" w:rsidRPr="00000000" w14:paraId="00000044">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directions for setting the table.</w:t>
            </w:r>
          </w:p>
          <w:p w:rsidR="00000000" w:rsidDel="00000000" w:rsidP="00000000" w:rsidRDefault="00000000" w:rsidRPr="00000000" w14:paraId="00000045">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follow directions to fill out a simple graphic organizer.</w:t>
            </w:r>
          </w:p>
          <w:p w:rsidR="00000000" w:rsidDel="00000000" w:rsidP="00000000" w:rsidRDefault="00000000" w:rsidRPr="00000000" w14:paraId="00000046">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names of the planets in a science lesson or video.</w:t>
            </w:r>
          </w:p>
          <w:p w:rsidR="00000000" w:rsidDel="00000000" w:rsidP="00000000" w:rsidRDefault="00000000" w:rsidRPr="00000000" w14:paraId="00000047">
            <w:pPr>
              <w:numPr>
                <w:ilvl w:val="0"/>
                <w:numId w:val="1"/>
              </w:numPr>
              <w:tabs>
                <w:tab w:val="left" w:leader="none" w:pos="5850"/>
              </w:tabs>
              <w:ind w:left="390" w:hanging="180"/>
              <w:rPr>
                <w:sz w:val="20"/>
                <w:szCs w:val="20"/>
              </w:rPr>
            </w:pPr>
            <w:r w:rsidDel="00000000" w:rsidR="00000000" w:rsidRPr="00000000">
              <w:rPr>
                <w:sz w:val="20"/>
                <w:szCs w:val="20"/>
                <w:rtl w:val="0"/>
              </w:rPr>
              <w:t xml:space="preserve">I can recognize some weather expressions in a forecast.</w:t>
            </w:r>
          </w:p>
        </w:tc>
        <w:tc>
          <w:tcPr>
            <w:shd w:fill="ffffff" w:val="clear"/>
          </w:tcPr>
          <w:p w:rsidR="00000000" w:rsidDel="00000000" w:rsidP="00000000" w:rsidRDefault="00000000" w:rsidRPr="00000000" w14:paraId="00000048">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describing a character in a story.</w:t>
            </w:r>
          </w:p>
          <w:p w:rsidR="00000000" w:rsidDel="00000000" w:rsidP="00000000" w:rsidRDefault="00000000" w:rsidRPr="00000000" w14:paraId="00000055">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from a read-aloud story.</w:t>
            </w:r>
          </w:p>
          <w:p w:rsidR="00000000" w:rsidDel="00000000" w:rsidP="00000000" w:rsidRDefault="00000000" w:rsidRPr="00000000" w14:paraId="00000056">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a familiar or memorized line from a TV show.</w:t>
            </w:r>
          </w:p>
          <w:p w:rsidR="00000000" w:rsidDel="00000000" w:rsidP="00000000" w:rsidRDefault="00000000" w:rsidRPr="00000000" w14:paraId="00000057">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some events from a cartoon.</w:t>
            </w:r>
          </w:p>
          <w:p w:rsidR="00000000" w:rsidDel="00000000" w:rsidP="00000000" w:rsidRDefault="00000000" w:rsidRPr="00000000" w14:paraId="00000058">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song’s common one-line refrain.</w:t>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when someone asks a person’s name.</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a time or date when plans for an event are discussed.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some common expressions when people are discussing the weather.</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instructions given by a parent to a child on the playground.</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difference between a statement and a question in peoples' conversations.</w:t>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ab/>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br w:type="textWrapping"/>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5065073</wp:posOffset>
            </wp:positionH>
            <wp:positionV relativeFrom="paragraph">
              <wp:posOffset>19050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informational texts.</w:t>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nutritional categories on food labels.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items on a shopping list.</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names of classes and their locations on a schedule.</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my departure and arrival times from a transportation schedule.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subject specific terms on a word wall.</w:t>
            </w:r>
          </w:p>
        </w:tc>
        <w:tc>
          <w:tcPr>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5">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fictional texts.</w:t>
              <w:br w:type="textWrapp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8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describing a character in a story.</w:t>
            </w:r>
          </w:p>
          <w:p w:rsidR="00000000" w:rsidDel="00000000" w:rsidP="00000000" w:rsidRDefault="00000000" w:rsidRPr="00000000" w14:paraId="00000091">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in captions from pictures in a book.</w:t>
            </w:r>
          </w:p>
          <w:p w:rsidR="00000000" w:rsidDel="00000000" w:rsidP="00000000" w:rsidRDefault="00000000" w:rsidRPr="00000000" w14:paraId="00000092">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a familiar memorized line from a poem.</w:t>
            </w:r>
          </w:p>
          <w:p w:rsidR="00000000" w:rsidDel="00000000" w:rsidP="00000000" w:rsidRDefault="00000000" w:rsidRPr="00000000" w14:paraId="00000093">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some events from a story timeline.</w:t>
            </w:r>
          </w:p>
          <w:p w:rsidR="00000000" w:rsidDel="00000000" w:rsidP="00000000" w:rsidRDefault="00000000" w:rsidRPr="00000000" w14:paraId="0000009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common one-line refrain from the lyrics of a song.</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6">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conversations.</w:t>
              <w:br w:type="textWrapp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dates in an email message.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very common abbreviations in a text message.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whether a correspondence is formal or informal.</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time in a meeting request.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familiar directions on a mobile app.</w:t>
            </w:r>
          </w:p>
        </w:tc>
        <w:tc>
          <w:tcPr>
            <w:tcBorders>
              <w:bottom w:color="000000" w:space="0" w:sz="4" w:val="single"/>
            </w:tcBorders>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8">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A">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318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who, what, where or when questions about a party.</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contribute to a conversation about music by giving an example of a style I like.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share the time and date of an upcoming community event.</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math question reciting a simple mathematical operation (e.g., 2 times 3 is 6).</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interact with a partner in class to complete a “fill-in-the-blank” worksheet in a science or other lesson.</w:t>
            </w:r>
          </w:p>
        </w:tc>
        <w:tc>
          <w:tcPr>
            <w:shd w:fill="ffff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1">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CC">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introduce someone else and ask a few related questions.</w:t>
            </w:r>
          </w:p>
          <w:p w:rsidR="00000000" w:rsidDel="00000000" w:rsidP="00000000" w:rsidRDefault="00000000" w:rsidRPr="00000000" w14:paraId="000000CD">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that I am hungry, cold or tired and ask others.</w:t>
            </w:r>
          </w:p>
          <w:p w:rsidR="00000000" w:rsidDel="00000000" w:rsidP="00000000" w:rsidRDefault="00000000" w:rsidRPr="00000000" w14:paraId="000000CE">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ask and answer simple questions about homework.</w:t>
            </w:r>
          </w:p>
          <w:p w:rsidR="00000000" w:rsidDel="00000000" w:rsidP="00000000" w:rsidRDefault="00000000" w:rsidRPr="00000000" w14:paraId="000000C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politely ask someone to repeat something I did not understand.</w:t>
            </w:r>
          </w:p>
          <w:p w:rsidR="00000000" w:rsidDel="00000000" w:rsidP="00000000" w:rsidRDefault="00000000" w:rsidRPr="00000000" w14:paraId="000000D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ask and understand how much something costs.</w:t>
            </w:r>
          </w:p>
        </w:tc>
        <w:tc>
          <w:tcPr>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3">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with my friends about our likes and dislikes.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what kinds of chores are easier or more enjoyable.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add to a conversation what I like and dislike about having a pet.</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about which subjects I like or dislike.</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favorite singers.</w:t>
            </w:r>
          </w:p>
        </w:tc>
        <w:tc>
          <w:tcPr>
            <w:tcBorders>
              <w:bottom w:color="000000"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6">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and answer questions about school, food or hobbies in an online conversation.</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questions and answers about the type of restaurant we plan to go to tonight.</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an e-invitation and ask questions about the event.</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post-it note in response to a discussion question.</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a backroom chat response.</w:t>
            </w:r>
          </w:p>
        </w:tc>
        <w:tc>
          <w:tcPr>
            <w:shd w:fill="ffffff"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7">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8">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respond to online survey questions to say where I want to study abroad and when.</w:t>
            </w:r>
          </w:p>
          <w:p w:rsidR="00000000" w:rsidDel="00000000" w:rsidP="00000000" w:rsidRDefault="00000000" w:rsidRPr="00000000" w14:paraId="00000109">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add personalized birthday wishes to a friend on a social media site.</w:t>
            </w:r>
          </w:p>
          <w:p w:rsidR="00000000" w:rsidDel="00000000" w:rsidP="00000000" w:rsidRDefault="00000000" w:rsidRPr="00000000" w14:paraId="0000010A">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respond to a text message asking for an alternative day or time for an appointment.</w:t>
            </w:r>
          </w:p>
          <w:p w:rsidR="00000000" w:rsidDel="00000000" w:rsidP="00000000" w:rsidRDefault="00000000" w:rsidRPr="00000000" w14:paraId="0000010B">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ask questions to the online sales rep about an item.</w:t>
            </w:r>
          </w:p>
          <w:p w:rsidR="00000000" w:rsidDel="00000000" w:rsidP="00000000" w:rsidRDefault="00000000" w:rsidRPr="00000000" w14:paraId="0000010C">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participate in a simple online exchange to get ready for an upcoming trip.</w:t>
            </w:r>
          </w:p>
        </w:tc>
        <w:tc>
          <w:tcPr>
            <w:shd w:fill="ffffff"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E">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choose answers in an online personality survey.</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post clothing photos on a social media site and ask advice about which to buy.   </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read a note from my roommate about evening plans and write a short response.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tweet my opinion about a new movie in response to other tweets.</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react to my classmates’ posts on an online learning tool.</w:t>
            </w:r>
          </w:p>
        </w:tc>
        <w:tc>
          <w:tcPr>
            <w:tcBorders>
              <w:bottom w:color="000000" w:space="0" w:sz="4" w:val="single"/>
            </w:tcBorders>
            <w:shd w:fill="ffffff"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0">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2">
      <w:pPr>
        <w:spacing w:after="0"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23">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 </w:t>
              <w:br w:type="textWrapping"/>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my family members, their ages, their relationships to me, and what they like to do.</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a few personality or physical characteristics of a hero of mine.</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parts of my house, my school or my place of work.</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places in my community, town, city, state or country.</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someone my activities and schedule for the day.</w:t>
            </w:r>
          </w:p>
        </w:tc>
        <w:tc>
          <w:tcPr>
            <w:shd w:fill="ffffff"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9">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tell where I like to go to see art or listen to music.</w:t>
            </w:r>
          </w:p>
          <w:p w:rsidR="00000000" w:rsidDel="00000000" w:rsidP="00000000" w:rsidRDefault="00000000" w:rsidRPr="00000000" w14:paraId="0000014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say how much I like or don’t like certain foods.</w:t>
            </w:r>
          </w:p>
          <w:p w:rsidR="00000000" w:rsidDel="00000000" w:rsidP="00000000" w:rsidRDefault="00000000" w:rsidRPr="00000000" w14:paraId="00000146">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state my favorite free-time activities and those I don’t like.</w:t>
            </w:r>
          </w:p>
          <w:p w:rsidR="00000000" w:rsidDel="00000000" w:rsidP="00000000" w:rsidRDefault="00000000" w:rsidRPr="00000000" w14:paraId="00000147">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state which actors or authors I like the best.</w:t>
            </w:r>
          </w:p>
          <w:p w:rsidR="00000000" w:rsidDel="00000000" w:rsidP="00000000" w:rsidRDefault="00000000" w:rsidRPr="00000000" w14:paraId="00000148">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which school subjects are my most and least favorite.</w:t>
            </w:r>
          </w:p>
        </w:tc>
        <w:tc>
          <w:tcPr>
            <w:shd w:fill="ffffff"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my classroom or school.</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tell the location of a city relative to another city on a map.   </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present simple information about my town or city.</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animals, foods or sports based on pictures or photos. </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historical figures based on pictures or photos.    </w:t>
            </w:r>
          </w:p>
        </w:tc>
        <w:tc>
          <w:tcPr>
            <w:tcBorders>
              <w:bottom w:color="000000" w:space="0" w:sz="4" w:val="single"/>
            </w:tcBorders>
            <w:shd w:fill="ffffff" w:val="clear"/>
          </w:tcPr>
          <w:p w:rsidR="00000000" w:rsidDel="00000000" w:rsidP="00000000" w:rsidRDefault="00000000" w:rsidRPr="00000000" w14:paraId="0000015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B">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5E">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5F">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 NOVICE MID</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caption a photo with my family members’ names, ages, relationship to me and what they like to do.</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about what I look like so someone can recognize me.</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the physical or personality traits of a character in a book. </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classes or work activities and tell what time they start and end.</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weekend activities and who does them with me.</w:t>
            </w:r>
          </w:p>
        </w:tc>
        <w:tc>
          <w:tcPr>
            <w:shd w:fill="ffffff"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6">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0">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1">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where I go to see art or listen to music.</w:t>
            </w:r>
          </w:p>
          <w:p w:rsidR="00000000" w:rsidDel="00000000" w:rsidP="00000000" w:rsidRDefault="00000000" w:rsidRPr="00000000" w14:paraId="00000182">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how much I like or don’t like certain sports.</w:t>
            </w:r>
          </w:p>
          <w:p w:rsidR="00000000" w:rsidDel="00000000" w:rsidP="00000000" w:rsidRDefault="00000000" w:rsidRPr="00000000" w14:paraId="0000018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create a bulleted list telling why a class is my favorite.</w:t>
            </w:r>
          </w:p>
          <w:p w:rsidR="00000000" w:rsidDel="00000000" w:rsidP="00000000" w:rsidRDefault="00000000" w:rsidRPr="00000000" w14:paraId="0000018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a rank-ordered list of my favorite and least favorite free-time activities.</w:t>
            </w:r>
          </w:p>
          <w:p w:rsidR="00000000" w:rsidDel="00000000" w:rsidP="00000000" w:rsidRDefault="00000000" w:rsidRPr="00000000" w14:paraId="0000018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caption pictures of what I consider to be good and bad lunch options.</w:t>
            </w:r>
          </w:p>
        </w:tc>
        <w:tc>
          <w:tcPr>
            <w:shd w:fill="ffffff"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7">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88">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information about my classroom or school.</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a to-do list.   </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list my daily activities.</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fill out a simple schedule.</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details about animals, food, historical figures or sports based on pictures or photos.</w:t>
            </w:r>
          </w:p>
        </w:tc>
        <w:tc>
          <w:tcPr>
            <w:tcBorders>
              <w:bottom w:color="000000" w:space="0" w:sz="4" w:val="single"/>
            </w:tcBorders>
            <w:shd w:fill="ffffff"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9">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sectPr>
      <w:footerReference r:id="rId14" w:type="default"/>
      <w:footerReference r:id="rId15" w:type="even"/>
      <w:pgSz w:h="15840" w:w="12240" w:orient="portrait"/>
      <w:pgMar w:bottom="450" w:top="630" w:left="720" w:right="720" w:header="720"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LinguaFolio</w:t>
    </w:r>
    <w:r w:rsidDel="00000000" w:rsidR="00000000" w:rsidRPr="00000000">
      <w:rPr>
        <w:rFonts w:ascii="Corbel" w:cs="Corbel" w:eastAsia="Corbel" w:hAnsi="Corbe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National Council of State Supervisors for Languages ©2018                                                                                                     </w:t>
    </w:r>
    <w:r w:rsidDel="00000000" w:rsidR="00000000" w:rsidRPr="00000000">
      <w:rPr>
        <w:rFonts w:ascii="Calibri" w:cs="Calibri" w:eastAsia="Calibri" w:hAnsi="Calibri"/>
        <w:b w:val="0"/>
        <w:i w:val="0"/>
        <w:smallCaps w:val="0"/>
        <w:strike w:val="0"/>
        <w:color w:val="548dd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