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eastAsia="Times New Roman" w:cs="Times New Roman" w:ascii="Times New Roman" w:hAnsi="Times New Roman"/>
        </w:rPr>
        <w:t>Cybersecurity and the Role of Social Science</w:t>
      </w:r>
    </w:p>
    <w:p>
      <w:pPr>
        <w:pStyle w:val="Normal"/>
        <w:jc w:val="both"/>
        <w:rPr/>
      </w:pPr>
      <w:r>
        <w:rPr>
          <w:rFonts w:eastAsia="Times New Roman" w:cs="Times New Roman" w:ascii="Times New Roman" w:hAnsi="Times New Roman"/>
        </w:rPr>
        <w:t xml:space="preserve">When I consider my future career in cybersecurity, one possible job area that interests me is to become a Digital Forensics Analyst. As a Digital Forensics Analyst, you will investigate digital devices and the information found within them to assist with identifying how an incident occurred and potentially who may have been responsible. While prior to taking CYSE 201S, I viewed the field of Cybersecurity primarily focused upon computers, networks, and preventing hackers. The coursework provided exposure to the fact that Cybersecurity also encompasses people’s actions or behavior. Specifically, concepts such as Cybersecurity Culture, Values, Social Norms, and Human Behavior can be related to a potential career in Digital Forensics. Additionally, each of the three articles we read proven that successful Digital Forensics professionals need not only an understanding of human behavior but also provide protection for individual’s rights of privacy, as well as exercise caution when interpreting any digital evidence. </w:t>
      </w:r>
    </w:p>
    <w:p>
      <w:pPr>
        <w:pStyle w:val="Normal"/>
        <w:jc w:val="both"/>
        <w:rPr/>
      </w:pPr>
      <w:r>
        <w:rPr>
          <w:rFonts w:eastAsia="Times New Roman" w:cs="Times New Roman" w:ascii="Times New Roman" w:hAnsi="Times New Roman"/>
        </w:rPr>
        <w:t xml:space="preserve">Two concepts from the coursework that connect to a career in Digital Forensics are Cybersecurity Culture and Values. Module 9 defines Cybersecurity Culture as “the knowledge, beliefs, perceptions, attitudes, norms, and values” individuals hold about Cybersecurity. An organizations’ Cybersecurity Culture can affect its members making safer choices. When conducting investigations, a Digital Forensics Analyst will often work with other company employees or investigators, and law enforcement officials. Therefore, it is beneficial for everyone involved to understand the importance of preserving digital evidence. For example, items collected from an employee’s mobile device or desktop computer should never be changed or mishandled due to the possibility of affecting the outcome of an investigation. Similarly, as discussed in Module 9, the attitudes and beliefs held by individuals about Cybersecurity can sometimes reflect or conflict with organizational policies. Having the proper Cybersecurity attitudes and behaviors can play a significant role in ensuring safety and protecting digital evidence even if one is not directly using Cybersecurity technologies. </w:t>
      </w:r>
    </w:p>
    <w:p>
      <w:pPr>
        <w:pStyle w:val="Normal"/>
        <w:jc w:val="both"/>
        <w:rPr/>
      </w:pPr>
      <w:r>
        <w:rPr>
          <w:rFonts w:eastAsia="Times New Roman" w:cs="Times New Roman" w:ascii="Times New Roman" w:hAnsi="Times New Roman"/>
        </w:rPr>
        <w:t xml:space="preserve">The second concept that relates to this career is the value of privacy. According to Module 9, individuals, or groups in many have varying values of Cybersecurity and data privacy. This idea resonated with me since a Digital Forensics Analyst may have direct access to an individual’s private information throughout the process of investigating a digital device. Graeme Horsman wrote an article titled Defining Principles for Preserving Privacy in Digital Forensic Examinations which provides insight into the problem that exists in relation to this issue. Many aspects of a person’s life are documented in their digital devices including internet browsing history, financial records, information, healthcare information, and more (Horsman). The article illustrates that investigators have weighed obtaining useful forensic evidence against respecting an individual's privacy. To address this dilemma, Horsman proposed ten Privacy-Preserving Data Processing Principles that investigators can utilize to achieve this balance. This demonstrates that a Digital Forensics Analyst does not have </w:t>
      </w:r>
      <w:r>
        <w:rPr>
          <w:rFonts w:eastAsia="Times New Roman" w:cs="Times New Roman" w:ascii="Times New Roman" w:hAnsi="Times New Roman"/>
        </w:rPr>
        <w:t>unlimited access</w:t>
      </w:r>
      <w:r>
        <w:rPr>
          <w:rFonts w:eastAsia="Times New Roman" w:cs="Times New Roman" w:ascii="Times New Roman" w:hAnsi="Times New Roman"/>
        </w:rPr>
        <w:t xml:space="preserve"> to examine every piece of information contained on a digital device merely because they have access to it; instead, they must identify only those prices of information that pertain specifically to the investigation at hand. </w:t>
      </w:r>
    </w:p>
    <w:p>
      <w:pPr>
        <w:pStyle w:val="Normal"/>
        <w:jc w:val="both"/>
        <w:rPr/>
      </w:pPr>
      <w:r>
        <w:rPr>
          <w:rFonts w:eastAsia="Times New Roman" w:cs="Times New Roman" w:ascii="Times New Roman" w:hAnsi="Times New Roman"/>
        </w:rPr>
        <w:t xml:space="preserve">Lastly, another concept from Module 9 that can also apply to Digital Forensics is social norms. Social norms represent accepted standards of behavior. Examples of social norms in the context of Cybersecurity include utilizing strong passwords and refraining from sharing your passwords with others. There are also professional social norms that exist relative to the handling of digital evidence and information pertinent to a Digital Forensics career. A Digital Forensics Analyst must adhere to established procedures and act responsibly with respect to sensitive information. This is particularly critical given that errors made during the investigation may adversely impact either an ongoing investigation or someone’s privacy. By establishing these professional social norms, a Digital Forensics Analyst can ensure that digital evidence is consistently and appropriately managed. </w:t>
      </w:r>
    </w:p>
    <w:p>
      <w:pPr>
        <w:pStyle w:val="Normal"/>
        <w:jc w:val="both"/>
        <w:rPr/>
      </w:pPr>
      <w:r>
        <w:rPr>
          <w:rFonts w:eastAsia="Times New Roman" w:cs="Times New Roman" w:ascii="Times New Roman" w:hAnsi="Times New Roman"/>
        </w:rPr>
        <w:t>The concept of human behavior is critical in digital forensics as well. An article titled “Cognitive and Human Factors in Digital Forensics: Problems, Challenges, and the Way Forward,” by Sunde and Dror, explains how human factors and cognitive biases can influence the way digital forensic examinations are conducted. This is particularly important since an examiner may have an assumption or expectation about what occurred prior to reviewing all the evidence. For instance, is a law enforcement investigator previously believed a suspect committed a crime; he or she may intentionally give greater emphasis to the evidence supporting his or her belief than to other potentially contradictory evidence. Therefore, a Digital Forensic Examiner should remain objective in conducting the examination and evaluate each piece of evidence objectively rather than seeking out evidence which supports his or her preconceived assumptions.</w:t>
      </w:r>
    </w:p>
    <w:p>
      <w:pPr>
        <w:pStyle w:val="Normal"/>
        <w:jc w:val="both"/>
        <w:rPr/>
      </w:pPr>
      <w:r>
        <w:rPr>
          <w:rFonts w:eastAsia="Times New Roman" w:cs="Times New Roman" w:ascii="Times New Roman" w:hAnsi="Times New Roman"/>
        </w:rPr>
        <w:t xml:space="preserve">In addition, the third article, “Behavioral Digital Forensics Model: Embedding Behavioral Evidence Analysis into the Investigation of Digital Crime” illustrates the potential benefits of applying knowledge regarding behavior to an investigation. Using a model created by Al Mutawa et al., with Behavioral Evidence Analysis, the authors demonstrated how Behavioral Evidence Analysis could be embedded into digital forensic investigations. The researchers validated their model utilizing 35 case studies and evaluating the model based upon five actual digital crimes from the Dubai Police archives (Al Mutawa et al.). As a result, the researchers concluded that the model would enable investigators to focus on their investigations more effectively, uncover additional relevant evidence, and obtain a better understanding of victim and offender behavior. Further, the research indicated that in certain instances, the model would allow investigators to identify individuals involved in the commission of the crime who were not revealed during a typical investigation. This study exemplifies one aspect of how digital forensics extends beyond the mere identification of files and data; it also requires an understanding of the behaviors underlying such evidence. </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A Digital Forensics Analyst also has a very important connection with society in terms of the social impact of a digital forensic investigation. As digital forensic investigations are performed for individuals from all walks of life and a variety of communities, analysts will have to be aware of potential biases and stereotypes that may cause them to misinterpret digital evidence. Additionally, as discussed in the topic of cognitive bias by Sunde and Dror, analysts should understand their own assumptions, so they do not make subjective judgements about evidence, especially when investigating members of minority and marginalized populations. Since analysts should look at the relevant information to help in the investigation instead of framing conclusions based on an individual’s identity or background, this proves the connections between digital forensics and society. Therefore, the analyst’s decision-making process during an investigation can affect an individual's right to privacy, reputation, and potential legal ramifications. </w:t>
      </w:r>
    </w:p>
    <w:p>
      <w:pPr>
        <w:pStyle w:val="Normal"/>
        <w:jc w:val="both"/>
        <w:rPr/>
      </w:pPr>
      <w:r>
        <w:rPr>
          <w:rFonts w:eastAsia="Times New Roman" w:cs="Times New Roman" w:ascii="Times New Roman" w:hAnsi="Times New Roman"/>
        </w:rPr>
        <w:t xml:space="preserve">In general, CYSE 201S has provided insight for me into how a career as a Digital Forensics Analyst requires both technical skills and knowledge about people. Cybersecurity culture, values, social norms, and human behavior can all impact how a digital forensic investigation is performed. Additionally, the articles highlighted the importance of preserving privacy, mitigating bias, and incorporating behavioral information within digital forensic examinations. I believe these ideas will prove valuable in my future career because a Digital Forensics Analyst must have both technical capabilities as well as responsibility, care, and a basic comprehension of human aspects of cybersecurity.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rPr/>
      </w:pPr>
      <w:r>
        <w:rPr/>
      </w:r>
      <w:r>
        <w:br w:type="page"/>
      </w:r>
    </w:p>
    <w:p>
      <w:pPr>
        <w:pStyle w:val="Normal"/>
        <w:spacing w:before="0" w:after="160"/>
        <w:jc w:val="center"/>
        <w:rPr/>
      </w:pPr>
      <w:r>
        <w:rPr>
          <w:rFonts w:eastAsia="Times New Roman" w:cs="Times New Roman" w:ascii="Times New Roman" w:hAnsi="Times New Roman"/>
          <w:b/>
          <w:bCs/>
        </w:rPr>
        <w:t xml:space="preserve">References </w:t>
      </w:r>
    </w:p>
    <w:p>
      <w:pPr>
        <w:pStyle w:val="Normal"/>
        <w:spacing w:lineRule="auto" w:line="480" w:before="0" w:after="0"/>
        <w:ind w:hanging="720" w:left="720"/>
        <w:jc w:val="both"/>
        <w:rPr/>
      </w:pPr>
      <w:r>
        <w:rPr>
          <w:rFonts w:eastAsia="Times New Roman" w:cs="Times New Roman" w:ascii="Times New Roman" w:hAnsi="Times New Roman"/>
        </w:rPr>
        <w:t xml:space="preserve">Al Mutawa, Noora, et al. “Behavioural Digital Forensics Model: Embedding Behavioural Evidence Analysis into the Investigation of Digital Crimes.” </w:t>
      </w:r>
      <w:r>
        <w:rPr>
          <w:rFonts w:eastAsia="Times New Roman" w:cs="Times New Roman" w:ascii="Times New Roman" w:hAnsi="Times New Roman"/>
          <w:i/>
          <w:iCs/>
        </w:rPr>
        <w:t>Digital Investigation</w:t>
      </w:r>
      <w:r>
        <w:rPr>
          <w:rFonts w:eastAsia="Times New Roman" w:cs="Times New Roman" w:ascii="Times New Roman" w:hAnsi="Times New Roman"/>
        </w:rPr>
        <w:t>, vol. 28, Mar. 2019, pp. 70–82, 10.1016/j.diin.2018.12.003.</w:t>
      </w:r>
    </w:p>
    <w:p>
      <w:pPr>
        <w:pStyle w:val="Normal"/>
        <w:spacing w:lineRule="auto" w:line="480" w:before="0" w:after="0"/>
        <w:ind w:hanging="720" w:left="720"/>
        <w:jc w:val="both"/>
        <w:rPr/>
      </w:pPr>
      <w:r>
        <w:rPr>
          <w:rFonts w:eastAsia="Times New Roman" w:cs="Times New Roman" w:ascii="Times New Roman" w:hAnsi="Times New Roman"/>
        </w:rPr>
        <w:t xml:space="preserve">Horsman, Graeme. “Defining Principles for Preserving Privacy in Digital Forensic Examinations.” </w:t>
      </w:r>
      <w:r>
        <w:rPr>
          <w:rFonts w:eastAsia="Times New Roman" w:cs="Times New Roman" w:ascii="Times New Roman" w:hAnsi="Times New Roman"/>
          <w:i/>
          <w:iCs/>
        </w:rPr>
        <w:t>Forensic Science International: Digital Investigation</w:t>
      </w:r>
      <w:r>
        <w:rPr>
          <w:rFonts w:eastAsia="Times New Roman" w:cs="Times New Roman" w:ascii="Times New Roman" w:hAnsi="Times New Roman"/>
        </w:rPr>
        <w:t>, vol. 40, Mar. 2022, p. 301350, 10.1016/j.fsidi.2022.301350.</w:t>
      </w:r>
    </w:p>
    <w:p>
      <w:pPr>
        <w:pStyle w:val="Normal"/>
        <w:spacing w:lineRule="auto" w:line="480" w:before="0" w:after="0"/>
        <w:ind w:hanging="720" w:left="720"/>
        <w:jc w:val="both"/>
        <w:rPr/>
      </w:pPr>
      <w:r>
        <w:rPr>
          <w:rFonts w:eastAsia="Times New Roman" w:cs="Times New Roman" w:ascii="Times New Roman" w:hAnsi="Times New Roman"/>
        </w:rPr>
        <w:t xml:space="preserve">Sunde, Nina, and Itiel E. Dror. “Cognitive and Human Factors in Digital Forensics: Problems, Challenges, and the Way Forward.” </w:t>
      </w:r>
      <w:r>
        <w:rPr>
          <w:rFonts w:eastAsia="Times New Roman" w:cs="Times New Roman" w:ascii="Times New Roman" w:hAnsi="Times New Roman"/>
          <w:i/>
          <w:iCs/>
        </w:rPr>
        <w:t>Digital Investigation</w:t>
      </w:r>
      <w:r>
        <w:rPr>
          <w:rFonts w:eastAsia="Times New Roman" w:cs="Times New Roman" w:ascii="Times New Roman" w:hAnsi="Times New Roman"/>
        </w:rPr>
        <w:t xml:space="preserve">, vol. 29, June 2019, pp. 101–108, </w:t>
      </w:r>
      <w:hyperlink r:id="rId2">
        <w:r>
          <w:rPr>
            <w:rStyle w:val="Hyperlink"/>
          </w:rPr>
          <w:t>https://www.sciencedirect.com/science/article/pii/S1742287619300441</w:t>
        </w:r>
      </w:hyperlink>
      <w:r>
        <w:rPr>
          <w:rFonts w:eastAsia="Times New Roman" w:cs="Times New Roman" w:ascii="Times New Roman" w:hAnsi="Times New Roman"/>
        </w:rPr>
        <w:t>, 10.1016/j.diin.2019.03.011. Accessed 8 Aug. 2026.</w:t>
      </w:r>
    </w:p>
    <w:p>
      <w:pPr>
        <w:pStyle w:val="Normal"/>
        <w:spacing w:before="0" w:after="160"/>
        <w:jc w:val="both"/>
        <w:rPr>
          <w:rFonts w:ascii="Times New Roman" w:hAnsi="Times New Roman" w:eastAsia="Times New Roman" w:cs="Times New Roman"/>
          <w:b/>
          <w:bCs/>
        </w:rPr>
      </w:pPr>
      <w:r>
        <w:rPr>
          <w:rFonts w:eastAsia="Times New Roman" w:cs="Times New Roman" w:ascii="Times New Roman" w:hAnsi="Times New Roman"/>
          <w:b/>
          <w:bCs/>
        </w:rPr>
      </w:r>
    </w:p>
    <w:sectPr>
      <w:headerReference w:type="default" r:id="rId3"/>
      <w:headerReference w:type="first" r:id="rId4"/>
      <w:footerReference w:type="default" r:id="rId5"/>
      <w:footerReference w:type="first" r:id="rId6"/>
      <w:type w:val="nextPage"/>
      <w:pgSz w:w="12240" w:h="15840"/>
      <w:pgMar w:left="1440" w:right="1440" w:gutter="0" w:header="720" w:top="1440" w:footer="72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ind w:left="-115"/>
            <w:rPr/>
          </w:pPr>
          <w:r>
            <w:rPr/>
          </w:r>
        </w:p>
      </w:tc>
      <w:tc>
        <w:tcPr>
          <w:tcW w:w="3120" w:type="dxa"/>
          <w:tcBorders/>
        </w:tcPr>
        <w:p>
          <w:pPr>
            <w:pStyle w:val="Header"/>
            <w:jc w:val="center"/>
            <w:rPr/>
          </w:pPr>
          <w:r>
            <w:rPr/>
          </w:r>
        </w:p>
      </w:tc>
      <w:tc>
        <w:tcPr>
          <w:tcW w:w="3120" w:type="dxa"/>
          <w:tcBorders/>
        </w:tcPr>
        <w:p>
          <w:pPr>
            <w:pStyle w:val="Header"/>
            <w:ind w:right="-115"/>
            <w:jc w:val="right"/>
            <w:rPr/>
          </w:pPr>
          <w:r>
            <w:rPr/>
          </w:r>
        </w:p>
      </w:tc>
    </w:tr>
  </w:tbl>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ind w:left="-115"/>
            <w:rPr/>
          </w:pPr>
          <w:r>
            <w:rPr/>
          </w:r>
        </w:p>
      </w:tc>
      <w:tc>
        <w:tcPr>
          <w:tcW w:w="3120" w:type="dxa"/>
          <w:tcBorders/>
        </w:tcPr>
        <w:p>
          <w:pPr>
            <w:pStyle w:val="Header"/>
            <w:jc w:val="center"/>
            <w:rPr/>
          </w:pPr>
          <w:r>
            <w:rPr/>
          </w:r>
        </w:p>
      </w:tc>
      <w:tc>
        <w:tcPr>
          <w:tcW w:w="3120" w:type="dxa"/>
          <w:tcBorders/>
        </w:tcPr>
        <w:p>
          <w:pPr>
            <w:pStyle w:val="Header"/>
            <w:ind w:right="-115"/>
            <w:jc w:val="right"/>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624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19"/>
    </w:tblGrid>
    <w:tr>
      <w:trPr>
        <w:trHeight w:val="300" w:hRule="atLeast"/>
      </w:trPr>
      <w:tc>
        <w:tcPr>
          <w:tcW w:w="3120" w:type="dxa"/>
          <w:tcBorders/>
        </w:tcPr>
        <w:p>
          <w:pPr>
            <w:pStyle w:val="Header"/>
            <w:jc w:val="center"/>
            <w:rPr/>
          </w:pPr>
          <w:r>
            <w:rPr/>
          </w:r>
        </w:p>
      </w:tc>
      <w:tc>
        <w:tcPr>
          <w:tcW w:w="3119" w:type="dxa"/>
          <w:tcBorders/>
        </w:tcPr>
        <w:p>
          <w:pPr>
            <w:pStyle w:val="Header"/>
            <w:ind w:right="-115"/>
            <w:jc w:val="right"/>
            <w:rPr/>
          </w:pPr>
          <w:r>
            <w:rPr/>
          </w:r>
        </w:p>
      </w:tc>
    </w:tr>
  </w:tbl>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ind w:left="-115"/>
            <w:rPr/>
          </w:pPr>
          <w:r>
            <w:rPr>
              <w:rFonts w:eastAsia="Times New Roman" w:cs="Times New Roman" w:ascii="Times New Roman" w:hAnsi="Times New Roman"/>
            </w:rPr>
            <w:t>CYSE 201S Cybersecurity and the Social Sciences</w:t>
          </w:r>
        </w:p>
        <w:p>
          <w:pPr>
            <w:pStyle w:val="Header"/>
            <w:ind w:left="-115"/>
            <w:rPr/>
          </w:pPr>
          <w:r>
            <w:rPr>
              <w:rFonts w:eastAsia="Times New Roman" w:cs="Times New Roman" w:ascii="Times New Roman" w:hAnsi="Times New Roman"/>
            </w:rPr>
            <w:t xml:space="preserve">Marissa Ruiz </w:t>
          </w:r>
        </w:p>
        <w:p>
          <w:pPr>
            <w:pStyle w:val="Header"/>
            <w:ind w:left="-115"/>
            <w:rPr/>
          </w:pPr>
          <w:r>
            <w:rPr>
              <w:rFonts w:eastAsia="Times New Roman" w:cs="Times New Roman" w:ascii="Times New Roman" w:hAnsi="Times New Roman"/>
            </w:rPr>
            <w:t xml:space="preserve">August </w:t>
          </w:r>
          <w:r>
            <w:rPr>
              <w:rFonts w:eastAsia="Times New Roman" w:cs="Times New Roman" w:ascii="Times New Roman" w:hAnsi="Times New Roman"/>
            </w:rPr>
            <w:t>9</w:t>
          </w:r>
          <w:r>
            <w:rPr>
              <w:rFonts w:eastAsia="Times New Roman" w:cs="Times New Roman" w:ascii="Times New Roman" w:hAnsi="Times New Roman"/>
            </w:rPr>
            <w:t>, 2026</w:t>
          </w:r>
        </w:p>
        <w:p>
          <w:pPr>
            <w:pStyle w:val="Header"/>
            <w:ind w:left="-115"/>
            <w:rPr/>
          </w:pPr>
          <w:r>
            <w:rPr/>
          </w:r>
        </w:p>
      </w:tc>
      <w:tc>
        <w:tcPr>
          <w:tcW w:w="3120" w:type="dxa"/>
          <w:tcBorders/>
        </w:tcPr>
        <w:p>
          <w:pPr>
            <w:pStyle w:val="Header"/>
            <w:jc w:val="center"/>
            <w:rPr/>
          </w:pPr>
          <w:r>
            <w:rPr/>
          </w:r>
        </w:p>
      </w:tc>
      <w:tc>
        <w:tcPr>
          <w:tcW w:w="3120" w:type="dxa"/>
          <w:tcBorders/>
        </w:tcPr>
        <w:p>
          <w:pPr>
            <w:pStyle w:val="Header"/>
            <w:ind w:right="-115"/>
            <w:jc w:val="right"/>
            <w:rPr/>
          </w:pPr>
          <w:r>
            <w:rPr/>
          </w:r>
        </w:p>
      </w:tc>
    </w:tr>
  </w:tbl>
  <w:p>
    <w:pPr>
      <w:pStyle w:val="Header"/>
      <w:rPr/>
    </w:pPr>
    <w:r>
      <w:rPr/>
    </w:r>
  </w:p>
</w:hdr>
</file>

<file path=word/settings.xml><?xml version="1.0" encoding="utf-8"?>
<w:settings xmlns:w="http://schemas.openxmlformats.org/wordprocessingml/2006/main">
  <w:zoom w:percent="65"/>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ＭＳ 明朝" w:cs="Arial"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left"/>
    </w:pPr>
    <w:rPr>
      <w:rFonts w:ascii="Aptos" w:hAnsi="Aptos" w:eastAsia="ＭＳ 明朝" w:cs="Arial" w:asciiTheme="minorHAnsi" w:cstheme="minorBidi" w:eastAsiaTheme="minorEastAsia" w:hAnsiTheme="minorHAnsi"/>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3417c51c"/>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uiPriority w:val="99"/>
    <w:unhideWhenUsed/>
    <w:rsid w:val="3417c51c"/>
    <w:pPr>
      <w:tabs>
        <w:tab w:val="clear" w:pos="720"/>
        <w:tab w:val="center" w:pos="4680" w:leader="none"/>
        <w:tab w:val="right" w:pos="9360" w:leader="none"/>
      </w:tabs>
      <w:spacing w:lineRule="auto" w:line="240" w:before="0" w:after="0"/>
    </w:pPr>
    <w:rPr/>
  </w:style>
  <w:style w:type="paragraph" w:styleId="Footer">
    <w:name w:val="Footer"/>
    <w:basedOn w:val="Normal"/>
    <w:uiPriority w:val="99"/>
    <w:unhideWhenUsed/>
    <w:rsid w:val="3417c51c"/>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ciencedirect.com/science/article/pii/S1742287619300441"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LibreOffice/7.6.2.1$Windows_X86_64 LibreOffice_project/56f7684011345957bbf33a7ee678afaf4d2ba333</Application>
  <AppVersion>15.0000</AppVersion>
  <DocSecurity>4</DocSecurity>
  <Pages>4</Pages>
  <Words>1299</Words>
  <Characters>7912</Characters>
  <CharactersWithSpaces>9202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2026-08-09T02:09:00Z</dcterms:created>
  <dc:creator>Marissa Ruiz</dc:creator>
  <dc:description/>
  <dc:language>en-US</dc:language>
  <cp:lastModifiedBy/>
  <dcterms:modified xsi:type="dcterms:W3CDTF">2026-08-09T20:15:56Z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