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CHRISTIAN NIETO</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SEPTEMBER 2024</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CYSE 201S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DOMINION UNIVERSITY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utilizing the data in </w:t>
      </w:r>
      <w:r w:rsidDel="00000000" w:rsidR="00000000" w:rsidRPr="00000000">
        <w:rPr>
          <w:rFonts w:ascii="Times New Roman" w:cs="Times New Roman" w:eastAsia="Times New Roman" w:hAnsi="Times New Roman"/>
          <w:sz w:val="24"/>
          <w:szCs w:val="24"/>
          <w:highlight w:val="white"/>
          <w:rtl w:val="0"/>
        </w:rPr>
        <w:t xml:space="preserve">PrivacyRights.org,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sz w:val="24"/>
          <w:szCs w:val="24"/>
          <w:rtl w:val="0"/>
        </w:rPr>
        <w:t xml:space="preserve">esearchers can analyze trends in data breaches by examining the frequency and severity of incidents over time,thus revealing patterns that highlight vulnerabilities across various industries. For instance, sectors like healthcare and finance often face higher rates of breaches due to the sensitive nature of the data they handle. By identifying common vulnerabilities such as inadequate encryption or outdated software. Researchers can further pinpoint areas where organizations need to strengthen their security measures. Furthermore, understanding the impact of these breaches on industries helps assess the broader economic and reputational consequences, enabling businesses to develop more effective risk management strategies and fostering a culture of enhanced data protection.</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7">
    <w:pPr>
      <w:spacing w:line="480" w:lineRule="auto"/>
      <w:rPr/>
    </w:pPr>
    <w:r w:rsidDel="00000000" w:rsidR="00000000" w:rsidRPr="00000000">
      <w:rPr>
        <w:rtl w:val="0"/>
      </w:rPr>
      <w:tab/>
      <w:tab/>
      <w:tab/>
      <w:tab/>
      <w:tab/>
      <w:tab/>
      <w:tab/>
      <w:tab/>
      <w:tab/>
      <w:tab/>
      <w:tab/>
      <w:t xml:space="preserve">         NIETO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