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pPr>
      <w:r w:rsidDel="00000000" w:rsidR="00000000" w:rsidRPr="00000000">
        <w:rPr>
          <w:rtl w:val="0"/>
        </w:rPr>
        <w:t xml:space="preserve">Article Review #1 </w:t>
      </w:r>
    </w:p>
    <w:p w:rsidR="00000000" w:rsidDel="00000000" w:rsidP="00000000" w:rsidRDefault="00000000" w:rsidRPr="00000000" w14:paraId="00000002">
      <w:pPr>
        <w:spacing w:line="480" w:lineRule="auto"/>
        <w:jc w:val="center"/>
        <w:rPr/>
      </w:pPr>
      <w:r w:rsidDel="00000000" w:rsidR="00000000" w:rsidRPr="00000000">
        <w:rPr>
          <w:rtl w:val="0"/>
        </w:rPr>
        <w:t xml:space="preserve">Cybercrimes</w:t>
      </w:r>
      <w:r w:rsidDel="00000000" w:rsidR="00000000" w:rsidRPr="00000000">
        <w:rPr>
          <w:rtl w:val="0"/>
        </w:rPr>
        <w:t xml:space="preserve"> in Iraq</w:t>
      </w:r>
    </w:p>
    <w:p w:rsidR="00000000" w:rsidDel="00000000" w:rsidP="00000000" w:rsidRDefault="00000000" w:rsidRPr="00000000" w14:paraId="00000003">
      <w:pPr>
        <w:spacing w:line="480" w:lineRule="auto"/>
        <w:jc w:val="center"/>
        <w:rPr/>
      </w:pPr>
      <w:r w:rsidDel="00000000" w:rsidR="00000000" w:rsidRPr="00000000">
        <w:rPr>
          <w:rtl w:val="0"/>
        </w:rPr>
      </w:r>
    </w:p>
    <w:p w:rsidR="00000000" w:rsidDel="00000000" w:rsidP="00000000" w:rsidRDefault="00000000" w:rsidRPr="00000000" w14:paraId="00000004">
      <w:pPr>
        <w:spacing w:line="480" w:lineRule="auto"/>
        <w:ind w:firstLine="720"/>
        <w:rPr/>
      </w:pPr>
      <w:r w:rsidDel="00000000" w:rsidR="00000000" w:rsidRPr="00000000">
        <w:rPr>
          <w:rtl w:val="0"/>
        </w:rPr>
        <w:t xml:space="preserve">The study explores the shortcomings in Iraq's cybersecurity laws, pointing out the gaps in the laws that currently exist, going over their theoretical and practical ramifications, and emphasizing the necessity of strong governance in combating cybercrimes. Cybercrime affects buyers, sellers, and countries, making it difficult for law enforcement and prosecutors to combat. More work is required to establish efficient cybersecurity for individuals, companies, and the government due to Iraq's unregulated digital sector. The literature examines the shortcomings, ignorance, and necessity of political and policy changes in relation to Iraq's current cybersecurity laws and regulations. An important gap in knowledge and application is highlighted by the lack of empirical data regarding administrative guidelines for businesses to take in order to safeguard themselves against cybercrimes. The study examines the limits and deficiencies of efficient governance in Iraq with a particular focus on legislative and administrative cybercrime laws. The present investigation employs a qualitative research methodology to examine the latest legislative frameworks in Iraq pertaining to cybercrime, evaluate the efficacy and suitability of administrative measures aimed at mitigating cybercrime risks, and ascertain the constraints associated with these laws. A thorough analysis of the information received from respondents is provided through the use of the interpretivism philosophy and the inductive research approach. The goal of this thorough analysis is to give readers a thorough grasp of the goals of the research as well as the constraints placed on Iraq's cybercrime laws. </w:t>
      </w:r>
    </w:p>
    <w:p w:rsidR="00000000" w:rsidDel="00000000" w:rsidP="00000000" w:rsidRDefault="00000000" w:rsidRPr="00000000" w14:paraId="00000005">
      <w:pPr>
        <w:spacing w:line="480" w:lineRule="auto"/>
        <w:ind w:firstLine="720"/>
        <w:rPr/>
      </w:pPr>
      <w:r w:rsidDel="00000000" w:rsidR="00000000" w:rsidRPr="00000000">
        <w:rPr>
          <w:rtl w:val="0"/>
        </w:rPr>
      </w:r>
    </w:p>
    <w:p w:rsidR="00000000" w:rsidDel="00000000" w:rsidP="00000000" w:rsidRDefault="00000000" w:rsidRPr="00000000" w14:paraId="00000006">
      <w:pPr>
        <w:spacing w:line="480" w:lineRule="auto"/>
        <w:ind w:firstLine="720"/>
        <w:jc w:val="center"/>
        <w:rPr/>
      </w:pPr>
      <w:r w:rsidDel="00000000" w:rsidR="00000000" w:rsidRPr="00000000">
        <w:rPr>
          <w:rtl w:val="0"/>
        </w:rPr>
        <w:t xml:space="preserve">Conclusion</w:t>
      </w:r>
    </w:p>
    <w:p w:rsidR="00000000" w:rsidDel="00000000" w:rsidP="00000000" w:rsidRDefault="00000000" w:rsidRPr="00000000" w14:paraId="00000007">
      <w:pPr>
        <w:spacing w:line="480" w:lineRule="auto"/>
        <w:ind w:left="0" w:firstLine="0"/>
        <w:rPr/>
      </w:pPr>
      <w:r w:rsidDel="00000000" w:rsidR="00000000" w:rsidRPr="00000000">
        <w:rPr>
          <w:rtl w:val="0"/>
        </w:rPr>
        <w:t xml:space="preserve">The study looks at how the legislative and administrative laws in Iraq relate to cybercrimes and the terminology associated with them. The report highlights four main themes, including the absence of specific laws, insufficient government policies, inadequate resources, ineffective agency work, and the absence of a distinct agency body. It also highlights the need for cybersecurity director training, increased human resources, collaboration with other nations and agencies, strict cybersecurity maintenance, public awareness of cybercrimes, and specific regulations and penalties for cybercrimes. These results emphasize the need for enhanced security and governance in the fight against cybercrimes, as well as the necessity of working with other nations and cybersecurity organizations to put in place strong anti-cybercrime legislation.</w:t>
      </w:r>
    </w:p>
    <w:p w:rsidR="00000000" w:rsidDel="00000000" w:rsidP="00000000" w:rsidRDefault="00000000" w:rsidRPr="00000000" w14:paraId="00000008">
      <w:pPr>
        <w:spacing w:line="480" w:lineRule="auto"/>
        <w:ind w:left="0" w:firstLine="0"/>
        <w:rPr/>
      </w:pPr>
      <w:r w:rsidDel="00000000" w:rsidR="00000000" w:rsidRPr="00000000">
        <w:rPr>
          <w:rtl w:val="0"/>
        </w:rPr>
      </w:r>
    </w:p>
    <w:p w:rsidR="00000000" w:rsidDel="00000000" w:rsidP="00000000" w:rsidRDefault="00000000" w:rsidRPr="00000000" w14:paraId="00000009">
      <w:pPr>
        <w:spacing w:line="480" w:lineRule="auto"/>
        <w:ind w:left="0" w:firstLine="0"/>
        <w:jc w:val="center"/>
        <w:rPr/>
      </w:pPr>
      <w:r w:rsidDel="00000000" w:rsidR="00000000" w:rsidRPr="00000000">
        <w:rPr>
          <w:rtl w:val="0"/>
        </w:rPr>
        <w:t xml:space="preserve">Article Review #2</w:t>
      </w:r>
    </w:p>
    <w:p w:rsidR="00000000" w:rsidDel="00000000" w:rsidP="00000000" w:rsidRDefault="00000000" w:rsidRPr="00000000" w14:paraId="0000000A">
      <w:pPr>
        <w:spacing w:line="480" w:lineRule="auto"/>
        <w:ind w:left="0" w:firstLine="0"/>
        <w:jc w:val="center"/>
        <w:rPr/>
      </w:pPr>
      <w:r w:rsidDel="00000000" w:rsidR="00000000" w:rsidRPr="00000000">
        <w:rPr>
          <w:rtl w:val="0"/>
        </w:rPr>
        <w:t xml:space="preserve">The risk of Cybersecurity</w:t>
      </w:r>
    </w:p>
    <w:p w:rsidR="00000000" w:rsidDel="00000000" w:rsidP="00000000" w:rsidRDefault="00000000" w:rsidRPr="00000000" w14:paraId="0000000B">
      <w:pPr>
        <w:spacing w:line="480" w:lineRule="auto"/>
        <w:ind w:left="0" w:firstLine="0"/>
        <w:jc w:val="center"/>
        <w:rPr/>
      </w:pPr>
      <w:r w:rsidDel="00000000" w:rsidR="00000000" w:rsidRPr="00000000">
        <w:rPr>
          <w:rtl w:val="0"/>
        </w:rPr>
      </w:r>
    </w:p>
    <w:p w:rsidR="00000000" w:rsidDel="00000000" w:rsidP="00000000" w:rsidRDefault="00000000" w:rsidRPr="00000000" w14:paraId="0000000C">
      <w:pPr>
        <w:spacing w:line="480" w:lineRule="auto"/>
        <w:ind w:left="0" w:firstLine="720"/>
        <w:rPr/>
      </w:pPr>
      <w:r w:rsidDel="00000000" w:rsidR="00000000" w:rsidRPr="00000000">
        <w:rPr>
          <w:rtl w:val="0"/>
        </w:rPr>
        <w:t xml:space="preserve">The cost of cybercrime to the world economy is expected to reach USD 1 trillion in 2020, up 50% from 2018. Better cyber information sources, standardized databases, required reporting, and public awareness are required in light of the rise in cyber insurance claims. Data availability is the main focus of this study's analysis of academic and commercial literature on cybersecurity and cyber risk management. It reveals a deficiency of publicly accessible databases, impeding group endeavors to mitigate cyber hazards. Researchers studying cybersecurity and the insurance sector will be able to quantify and manage cyber risks with the aid of the resulting data evaluation. By emphasizing the function of cybersecurity and cyber insurance in risk transfer and mitigation, this study focuses on risk management in cyber risk. In order to provide a systematic review of data availability, it examines the body of research that has already been done on cybersecurity and cyber risk as well as open data sources. Along with supporting stakeholders in cybersecurity and cyber risk management, the study highlights the necessity of unrestricted, open access to cyber-specific data without an expense or requirement for permission. The four databases IEEE Xplore, Scopus, SpringerLink, and Web of Science were the only ones used in the literature search for cybersecurity and cyber risks. These databases bear resemblance to earlier analyses of the subject. Three million conference papers and more than 200 journals' worth of electrical engineering, computer science, and electronics research can be found in IEEE Xplore. 23,400 peer-reviewed journals from more than 5000 international publishers are available on Scopus. Over 10 million scientific documents are indexed by SpringerLink, which also has 3742 journals. Approximately 9200 journals across various scientific fields are indexed by Web of Science. </w:t>
      </w:r>
    </w:p>
    <w:p w:rsidR="00000000" w:rsidDel="00000000" w:rsidP="00000000" w:rsidRDefault="00000000" w:rsidRPr="00000000" w14:paraId="0000000D">
      <w:pPr>
        <w:spacing w:line="480" w:lineRule="auto"/>
        <w:ind w:left="0" w:firstLine="720"/>
        <w:jc w:val="center"/>
        <w:rPr/>
      </w:pPr>
      <w:r w:rsidDel="00000000" w:rsidR="00000000" w:rsidRPr="00000000">
        <w:rPr>
          <w:rtl w:val="0"/>
        </w:rPr>
        <w:t xml:space="preserve">Conclusion</w:t>
      </w:r>
    </w:p>
    <w:p w:rsidR="00000000" w:rsidDel="00000000" w:rsidP="00000000" w:rsidRDefault="00000000" w:rsidRPr="00000000" w14:paraId="0000000E">
      <w:pPr>
        <w:spacing w:line="480" w:lineRule="auto"/>
        <w:ind w:left="0" w:firstLine="720"/>
        <w:rPr/>
      </w:pPr>
      <w:r w:rsidDel="00000000" w:rsidR="00000000" w:rsidRPr="00000000">
        <w:rPr>
          <w:rtl w:val="0"/>
        </w:rPr>
        <w:t xml:space="preserve">Cyber risk and cybersecurity databases were systematically reviewed, and the results showed that less information was found on cyber risks and more was concentrated on intrusion detection and machine learning. Because of the uncertainty surrounding cyber risk and the lack of historical data, this poses a problem for stakeholders in cyber insurance. To support risk management and researchers, a higher density of cyber data is required. Companies and insurers' knowledge, awareness, and loss prevention regarding cyber incidents could be enhanced by making reporting of such incidents mandatory. In order to lower cyber risks, sustainably price based on risk, and create uniform definitions of cyber risks, this knowledge could also be integrated into company culture.</w:t>
      </w:r>
    </w:p>
    <w:p w:rsidR="00000000" w:rsidDel="00000000" w:rsidP="00000000" w:rsidRDefault="00000000" w:rsidRPr="00000000" w14:paraId="0000000F">
      <w:pPr>
        <w:spacing w:line="480" w:lineRule="auto"/>
        <w:ind w:left="0" w:firstLine="720"/>
        <w:rPr/>
      </w:pPr>
      <w:r w:rsidDel="00000000" w:rsidR="00000000" w:rsidRPr="00000000">
        <w:rPr>
          <w:rtl w:val="0"/>
        </w:rPr>
      </w:r>
    </w:p>
    <w:p w:rsidR="00000000" w:rsidDel="00000000" w:rsidP="00000000" w:rsidRDefault="00000000" w:rsidRPr="00000000" w14:paraId="00000010">
      <w:pPr>
        <w:spacing w:line="480" w:lineRule="auto"/>
        <w:ind w:left="0" w:firstLine="720"/>
        <w:rPr/>
      </w:pPr>
      <w:r w:rsidDel="00000000" w:rsidR="00000000" w:rsidRPr="00000000">
        <w:rPr>
          <w:rtl w:val="0"/>
        </w:rPr>
      </w:r>
    </w:p>
    <w:p w:rsidR="00000000" w:rsidDel="00000000" w:rsidP="00000000" w:rsidRDefault="00000000" w:rsidRPr="00000000" w14:paraId="00000011">
      <w:pPr>
        <w:spacing w:line="480" w:lineRule="auto"/>
        <w:ind w:left="0" w:firstLine="720"/>
        <w:rPr/>
      </w:pPr>
      <w:r w:rsidDel="00000000" w:rsidR="00000000" w:rsidRPr="00000000">
        <w:rPr>
          <w:rtl w:val="0"/>
        </w:rPr>
      </w:r>
    </w:p>
    <w:p w:rsidR="00000000" w:rsidDel="00000000" w:rsidP="00000000" w:rsidRDefault="00000000" w:rsidRPr="00000000" w14:paraId="00000012">
      <w:pPr>
        <w:spacing w:line="480" w:lineRule="auto"/>
        <w:ind w:left="0" w:firstLine="720"/>
        <w:rPr/>
      </w:pPr>
      <w:r w:rsidDel="00000000" w:rsidR="00000000" w:rsidRPr="00000000">
        <w:rPr>
          <w:rtl w:val="0"/>
        </w:rPr>
      </w:r>
    </w:p>
    <w:p w:rsidR="00000000" w:rsidDel="00000000" w:rsidP="00000000" w:rsidRDefault="00000000" w:rsidRPr="00000000" w14:paraId="00000013">
      <w:pPr>
        <w:spacing w:line="480" w:lineRule="auto"/>
        <w:ind w:left="0" w:firstLine="720"/>
        <w:rPr/>
      </w:pPr>
      <w:r w:rsidDel="00000000" w:rsidR="00000000" w:rsidRPr="00000000">
        <w:rPr>
          <w:rtl w:val="0"/>
        </w:rPr>
      </w:r>
    </w:p>
    <w:p w:rsidR="00000000" w:rsidDel="00000000" w:rsidP="00000000" w:rsidRDefault="00000000" w:rsidRPr="00000000" w14:paraId="00000014">
      <w:pPr>
        <w:spacing w:line="480" w:lineRule="auto"/>
        <w:ind w:left="0" w:firstLine="720"/>
        <w:rPr/>
      </w:pPr>
      <w:r w:rsidDel="00000000" w:rsidR="00000000" w:rsidRPr="00000000">
        <w:rPr>
          <w:rtl w:val="0"/>
        </w:rPr>
      </w:r>
    </w:p>
    <w:p w:rsidR="00000000" w:rsidDel="00000000" w:rsidP="00000000" w:rsidRDefault="00000000" w:rsidRPr="00000000" w14:paraId="00000015">
      <w:pPr>
        <w:spacing w:line="480" w:lineRule="auto"/>
        <w:ind w:left="0" w:firstLine="720"/>
        <w:rPr/>
      </w:pPr>
      <w:r w:rsidDel="00000000" w:rsidR="00000000" w:rsidRPr="00000000">
        <w:rPr>
          <w:rtl w:val="0"/>
        </w:rPr>
      </w:r>
    </w:p>
    <w:p w:rsidR="00000000" w:rsidDel="00000000" w:rsidP="00000000" w:rsidRDefault="00000000" w:rsidRPr="00000000" w14:paraId="00000016">
      <w:pPr>
        <w:spacing w:line="480" w:lineRule="auto"/>
        <w:ind w:left="0" w:firstLine="0"/>
        <w:rPr/>
      </w:pPr>
      <w:r w:rsidDel="00000000" w:rsidR="00000000" w:rsidRPr="00000000">
        <w:rPr>
          <w:rtl w:val="0"/>
        </w:rPr>
      </w:r>
    </w:p>
    <w:p w:rsidR="00000000" w:rsidDel="00000000" w:rsidP="00000000" w:rsidRDefault="00000000" w:rsidRPr="00000000" w14:paraId="00000017">
      <w:pPr>
        <w:spacing w:line="480" w:lineRule="auto"/>
        <w:ind w:left="0" w:firstLine="0"/>
        <w:jc w:val="center"/>
        <w:rPr/>
      </w:pPr>
      <w:r w:rsidDel="00000000" w:rsidR="00000000" w:rsidRPr="00000000">
        <w:rPr>
          <w:rtl w:val="0"/>
        </w:rPr>
        <w:t xml:space="preserve">Reference </w:t>
      </w:r>
    </w:p>
    <w:p w:rsidR="00000000" w:rsidDel="00000000" w:rsidP="00000000" w:rsidRDefault="00000000" w:rsidRPr="00000000" w14:paraId="00000018">
      <w:pPr>
        <w:spacing w:line="480" w:lineRule="auto"/>
        <w:ind w:left="0" w:firstLine="0"/>
        <w:jc w:val="center"/>
        <w:rPr/>
      </w:pPr>
      <w:r w:rsidDel="00000000" w:rsidR="00000000" w:rsidRPr="00000000">
        <w:rPr>
          <w:rtl w:val="0"/>
        </w:rPr>
      </w:r>
    </w:p>
    <w:p w:rsidR="00000000" w:rsidDel="00000000" w:rsidP="00000000" w:rsidRDefault="00000000" w:rsidRPr="00000000" w14:paraId="00000019">
      <w:pPr>
        <w:spacing w:line="480" w:lineRule="auto"/>
        <w:ind w:left="0" w:firstLine="0"/>
        <w:rPr/>
      </w:pPr>
      <w:r w:rsidDel="00000000" w:rsidR="00000000" w:rsidRPr="00000000">
        <w:rPr>
          <w:rtl w:val="0"/>
        </w:rPr>
        <w:t xml:space="preserve">Cybercrime Laws in Iraq: Addressing Limitations for Effective Governance</w:t>
      </w:r>
    </w:p>
    <w:p w:rsidR="00000000" w:rsidDel="00000000" w:rsidP="00000000" w:rsidRDefault="00000000" w:rsidRPr="00000000" w14:paraId="0000001A">
      <w:pPr>
        <w:spacing w:line="480" w:lineRule="auto"/>
        <w:ind w:left="0" w:firstLine="0"/>
        <w:rPr/>
      </w:pPr>
      <w:hyperlink r:id="rId6">
        <w:r w:rsidDel="00000000" w:rsidR="00000000" w:rsidRPr="00000000">
          <w:rPr>
            <w:color w:val="1155cc"/>
            <w:u w:val="single"/>
            <w:rtl w:val="0"/>
          </w:rPr>
          <w:t xml:space="preserve">https://cybercrimejournal.com/menuscript/index.php/cybercrimejournal/article/view/186/68</w:t>
        </w:r>
      </w:hyperlink>
      <w:r w:rsidDel="00000000" w:rsidR="00000000" w:rsidRPr="00000000">
        <w:rPr>
          <w:rtl w:val="0"/>
        </w:rPr>
      </w:r>
    </w:p>
    <w:p w:rsidR="00000000" w:rsidDel="00000000" w:rsidP="00000000" w:rsidRDefault="00000000" w:rsidRPr="00000000" w14:paraId="0000001B">
      <w:pPr>
        <w:spacing w:line="480" w:lineRule="auto"/>
        <w:ind w:left="0" w:firstLine="0"/>
        <w:rPr/>
      </w:pPr>
      <w:r w:rsidDel="00000000" w:rsidR="00000000" w:rsidRPr="00000000">
        <w:rPr>
          <w:rtl w:val="0"/>
        </w:rPr>
        <w:t xml:space="preserve">Cyber risk and cybersecurity: a systematic review of data availability </w:t>
      </w:r>
    </w:p>
    <w:p w:rsidR="00000000" w:rsidDel="00000000" w:rsidP="00000000" w:rsidRDefault="00000000" w:rsidRPr="00000000" w14:paraId="0000001C">
      <w:pPr>
        <w:keepNext w:val="0"/>
        <w:keepLines w:val="0"/>
        <w:spacing w:after="200" w:line="480" w:lineRule="auto"/>
        <w:ind w:left="0" w:firstLine="0"/>
        <w:rPr>
          <w:color w:val="212121"/>
        </w:rPr>
      </w:pPr>
      <w:hyperlink r:id="rId7">
        <w:r w:rsidDel="00000000" w:rsidR="00000000" w:rsidRPr="00000000">
          <w:rPr>
            <w:color w:val="1155cc"/>
            <w:u w:val="single"/>
            <w:rtl w:val="0"/>
          </w:rPr>
          <w:t xml:space="preserve">Frank Cremer</w:t>
        </w:r>
      </w:hyperlink>
      <w:hyperlink r:id="rId8">
        <w:r w:rsidDel="00000000" w:rsidR="00000000" w:rsidRPr="00000000">
          <w:rPr>
            <w:color w:val="1155cc"/>
            <w:highlight w:val="white"/>
            <w:u w:val="single"/>
            <w:rtl w:val="0"/>
          </w:rPr>
          <w:t xml:space="preserve">,</w:t>
        </w:r>
      </w:hyperlink>
      <w:hyperlink r:id="rId9">
        <w:r w:rsidDel="00000000" w:rsidR="00000000" w:rsidRPr="00000000">
          <w:rPr>
            <w:color w:val="1155cc"/>
            <w:u w:val="single"/>
            <w:rtl w:val="0"/>
          </w:rPr>
          <w:t xml:space="preserve">1</w:t>
        </w:r>
      </w:hyperlink>
      <w:hyperlink r:id="rId10">
        <w:r w:rsidDel="00000000" w:rsidR="00000000" w:rsidRPr="00000000">
          <w:rPr>
            <w:color w:val="1155cc"/>
            <w:highlight w:val="white"/>
            <w:u w:val="single"/>
            <w:rtl w:val="0"/>
          </w:rPr>
          <w:t xml:space="preserve"> </w:t>
        </w:r>
      </w:hyperlink>
      <w:hyperlink r:id="rId11">
        <w:r w:rsidDel="00000000" w:rsidR="00000000" w:rsidRPr="00000000">
          <w:rPr>
            <w:color w:val="1155cc"/>
            <w:u w:val="single"/>
            <w:rtl w:val="0"/>
          </w:rPr>
          <w:t xml:space="preserve">Barry Sheehan</w:t>
        </w:r>
      </w:hyperlink>
      <w:hyperlink r:id="rId12">
        <w:r w:rsidDel="00000000" w:rsidR="00000000" w:rsidRPr="00000000">
          <w:rPr>
            <w:color w:val="1155cc"/>
            <w:highlight w:val="white"/>
            <w:u w:val="single"/>
            <w:rtl w:val="0"/>
          </w:rPr>
          <w:t xml:space="preserve">,</w:t>
        </w:r>
      </w:hyperlink>
      <w:hyperlink r:id="rId13">
        <w:r w:rsidDel="00000000" w:rsidR="00000000" w:rsidRPr="00000000">
          <w:rPr>
            <w:color w:val="1155cc"/>
            <w:highlight w:val="white"/>
            <w:u w:val="single"/>
          </w:rPr>
          <w:drawing>
            <wp:inline distB="114300" distT="114300" distL="114300" distR="114300">
              <wp:extent cx="66675" cy="85725"/>
              <wp:effectExtent b="0" l="0" r="0" t="0"/>
              <wp:docPr descr="corresponding author" id="1" name="image1.gif"/>
              <a:graphic>
                <a:graphicData uri="http://schemas.openxmlformats.org/drawingml/2006/picture">
                  <pic:pic>
                    <pic:nvPicPr>
                      <pic:cNvPr descr="corresponding author" id="0" name="image1.gif"/>
                      <pic:cNvPicPr preferRelativeResize="0"/>
                    </pic:nvPicPr>
                    <pic:blipFill>
                      <a:blip r:embed="rId14"/>
                      <a:srcRect b="0" l="0" r="0" t="0"/>
                      <a:stretch>
                        <a:fillRect/>
                      </a:stretch>
                    </pic:blipFill>
                    <pic:spPr>
                      <a:xfrm>
                        <a:off x="0" y="0"/>
                        <a:ext cx="66675" cy="85725"/>
                      </a:xfrm>
                      <a:prstGeom prst="rect"/>
                      <a:ln/>
                    </pic:spPr>
                  </pic:pic>
                </a:graphicData>
              </a:graphic>
            </wp:inline>
          </w:drawing>
        </w:r>
      </w:hyperlink>
      <w:hyperlink r:id="rId15">
        <w:r w:rsidDel="00000000" w:rsidR="00000000" w:rsidRPr="00000000">
          <w:rPr>
            <w:color w:val="1155cc"/>
            <w:u w:val="single"/>
            <w:rtl w:val="0"/>
          </w:rPr>
          <w:t xml:space="preserve">1</w:t>
        </w:r>
      </w:hyperlink>
      <w:hyperlink r:id="rId16">
        <w:r w:rsidDel="00000000" w:rsidR="00000000" w:rsidRPr="00000000">
          <w:rPr>
            <w:color w:val="1155cc"/>
            <w:highlight w:val="white"/>
            <w:u w:val="single"/>
            <w:rtl w:val="0"/>
          </w:rPr>
          <w:t xml:space="preserve"> </w:t>
        </w:r>
      </w:hyperlink>
      <w:hyperlink r:id="rId17">
        <w:r w:rsidDel="00000000" w:rsidR="00000000" w:rsidRPr="00000000">
          <w:rPr>
            <w:color w:val="1155cc"/>
            <w:u w:val="single"/>
            <w:rtl w:val="0"/>
          </w:rPr>
          <w:t xml:space="preserve">Michael Fortmann</w:t>
        </w:r>
      </w:hyperlink>
      <w:hyperlink r:id="rId18">
        <w:r w:rsidDel="00000000" w:rsidR="00000000" w:rsidRPr="00000000">
          <w:rPr>
            <w:color w:val="1155cc"/>
            <w:highlight w:val="white"/>
            <w:u w:val="single"/>
            <w:rtl w:val="0"/>
          </w:rPr>
          <w:t xml:space="preserve">,</w:t>
        </w:r>
      </w:hyperlink>
      <w:hyperlink r:id="rId19">
        <w:r w:rsidDel="00000000" w:rsidR="00000000" w:rsidRPr="00000000">
          <w:rPr>
            <w:color w:val="1155cc"/>
            <w:u w:val="single"/>
            <w:rtl w:val="0"/>
          </w:rPr>
          <w:t xml:space="preserve">2</w:t>
        </w:r>
      </w:hyperlink>
      <w:hyperlink r:id="rId20">
        <w:r w:rsidDel="00000000" w:rsidR="00000000" w:rsidRPr="00000000">
          <w:rPr>
            <w:color w:val="1155cc"/>
            <w:highlight w:val="white"/>
            <w:u w:val="single"/>
            <w:rtl w:val="0"/>
          </w:rPr>
          <w:t xml:space="preserve"> </w:t>
        </w:r>
      </w:hyperlink>
      <w:hyperlink r:id="rId21">
        <w:r w:rsidDel="00000000" w:rsidR="00000000" w:rsidRPr="00000000">
          <w:rPr>
            <w:color w:val="1155cc"/>
            <w:u w:val="single"/>
            <w:rtl w:val="0"/>
          </w:rPr>
          <w:t xml:space="preserve">Arash N. Kia</w:t>
        </w:r>
      </w:hyperlink>
      <w:hyperlink r:id="rId22">
        <w:r w:rsidDel="00000000" w:rsidR="00000000" w:rsidRPr="00000000">
          <w:rPr>
            <w:color w:val="1155cc"/>
            <w:highlight w:val="white"/>
            <w:u w:val="single"/>
            <w:rtl w:val="0"/>
          </w:rPr>
          <w:t xml:space="preserve">,</w:t>
        </w:r>
      </w:hyperlink>
      <w:hyperlink r:id="rId23">
        <w:r w:rsidDel="00000000" w:rsidR="00000000" w:rsidRPr="00000000">
          <w:rPr>
            <w:color w:val="1155cc"/>
            <w:u w:val="single"/>
            <w:rtl w:val="0"/>
          </w:rPr>
          <w:t xml:space="preserve">1</w:t>
        </w:r>
      </w:hyperlink>
      <w:hyperlink r:id="rId24">
        <w:r w:rsidDel="00000000" w:rsidR="00000000" w:rsidRPr="00000000">
          <w:rPr>
            <w:color w:val="1155cc"/>
            <w:highlight w:val="white"/>
            <w:u w:val="single"/>
            <w:rtl w:val="0"/>
          </w:rPr>
          <w:t xml:space="preserve"> </w:t>
        </w:r>
      </w:hyperlink>
      <w:hyperlink r:id="rId25">
        <w:r w:rsidDel="00000000" w:rsidR="00000000" w:rsidRPr="00000000">
          <w:rPr>
            <w:color w:val="1155cc"/>
            <w:u w:val="single"/>
            <w:rtl w:val="0"/>
          </w:rPr>
          <w:t xml:space="preserve">Martin Mullins</w:t>
        </w:r>
      </w:hyperlink>
      <w:hyperlink r:id="rId26">
        <w:r w:rsidDel="00000000" w:rsidR="00000000" w:rsidRPr="00000000">
          <w:rPr>
            <w:color w:val="1155cc"/>
            <w:highlight w:val="white"/>
            <w:u w:val="single"/>
            <w:rtl w:val="0"/>
          </w:rPr>
          <w:t xml:space="preserve">,</w:t>
        </w:r>
      </w:hyperlink>
      <w:hyperlink r:id="rId27">
        <w:r w:rsidDel="00000000" w:rsidR="00000000" w:rsidRPr="00000000">
          <w:rPr>
            <w:color w:val="1155cc"/>
            <w:u w:val="single"/>
            <w:rtl w:val="0"/>
          </w:rPr>
          <w:t xml:space="preserve">1</w:t>
        </w:r>
      </w:hyperlink>
      <w:hyperlink r:id="rId28">
        <w:r w:rsidDel="00000000" w:rsidR="00000000" w:rsidRPr="00000000">
          <w:rPr>
            <w:color w:val="1155cc"/>
            <w:highlight w:val="white"/>
            <w:u w:val="single"/>
            <w:rtl w:val="0"/>
          </w:rPr>
          <w:t xml:space="preserve"> </w:t>
        </w:r>
      </w:hyperlink>
      <w:hyperlink r:id="rId29">
        <w:r w:rsidDel="00000000" w:rsidR="00000000" w:rsidRPr="00000000">
          <w:rPr>
            <w:color w:val="1155cc"/>
            <w:u w:val="single"/>
            <w:rtl w:val="0"/>
          </w:rPr>
          <w:t xml:space="preserve">Finbarr Murphy</w:t>
        </w:r>
      </w:hyperlink>
      <w:hyperlink r:id="rId30">
        <w:r w:rsidDel="00000000" w:rsidR="00000000" w:rsidRPr="00000000">
          <w:rPr>
            <w:color w:val="1155cc"/>
            <w:highlight w:val="white"/>
            <w:u w:val="single"/>
            <w:rtl w:val="0"/>
          </w:rPr>
          <w:t xml:space="preserve">,</w:t>
        </w:r>
      </w:hyperlink>
      <w:hyperlink r:id="rId31">
        <w:r w:rsidDel="00000000" w:rsidR="00000000" w:rsidRPr="00000000">
          <w:rPr>
            <w:color w:val="1155cc"/>
            <w:u w:val="single"/>
            <w:rtl w:val="0"/>
          </w:rPr>
          <w:t xml:space="preserve">1</w:t>
        </w:r>
      </w:hyperlink>
      <w:hyperlink r:id="rId32">
        <w:r w:rsidDel="00000000" w:rsidR="00000000" w:rsidRPr="00000000">
          <w:rPr>
            <w:color w:val="1155cc"/>
            <w:highlight w:val="white"/>
            <w:u w:val="single"/>
            <w:rtl w:val="0"/>
          </w:rPr>
          <w:t xml:space="preserve"> and </w:t>
        </w:r>
      </w:hyperlink>
      <w:hyperlink r:id="rId33">
        <w:r w:rsidDel="00000000" w:rsidR="00000000" w:rsidRPr="00000000">
          <w:rPr>
            <w:color w:val="1155cc"/>
            <w:u w:val="single"/>
            <w:rtl w:val="0"/>
          </w:rPr>
          <w:t xml:space="preserve">Stefan Materne</w:t>
        </w:r>
      </w:hyperlink>
      <w:hyperlink r:id="rId34">
        <w:r w:rsidDel="00000000" w:rsidR="00000000" w:rsidRPr="00000000">
          <w:rPr>
            <w:color w:val="1155cc"/>
            <w:u w:val="single"/>
            <w:rtl w:val="0"/>
          </w:rPr>
          <w:t xml:space="preserve">2 </w:t>
        </w:r>
      </w:hyperlink>
      <w:r w:rsidDel="00000000" w:rsidR="00000000" w:rsidRPr="00000000">
        <w:rPr>
          <w:color w:val="212121"/>
          <w:rtl w:val="0"/>
        </w:rPr>
        <w:t xml:space="preserve">Published online 2022 Feb 17. </w:t>
      </w:r>
    </w:p>
    <w:p w:rsidR="00000000" w:rsidDel="00000000" w:rsidP="00000000" w:rsidRDefault="00000000" w:rsidRPr="00000000" w14:paraId="0000001D">
      <w:pPr>
        <w:spacing w:line="480" w:lineRule="auto"/>
        <w:ind w:left="0" w:firstLine="0"/>
        <w:rPr>
          <w:color w:val="212121"/>
        </w:rPr>
      </w:pPr>
      <w:r w:rsidDel="00000000" w:rsidR="00000000" w:rsidRPr="00000000">
        <w:rPr>
          <w:color w:val="212121"/>
          <w:rtl w:val="0"/>
        </w:rPr>
        <w:t xml:space="preserve">Doi: </w:t>
      </w:r>
      <w:hyperlink r:id="rId35">
        <w:r w:rsidDel="00000000" w:rsidR="00000000" w:rsidRPr="00000000">
          <w:rPr>
            <w:color w:val="1155cc"/>
            <w:u w:val="single"/>
            <w:rtl w:val="0"/>
          </w:rPr>
          <w:t xml:space="preserve">10.1057/s41288-022-00266-6</w:t>
        </w:r>
      </w:hyperlink>
      <w:r w:rsidDel="00000000" w:rsidR="00000000" w:rsidRPr="00000000">
        <w:rPr>
          <w:rtl w:val="0"/>
        </w:rPr>
      </w:r>
    </w:p>
    <w:p w:rsidR="00000000" w:rsidDel="00000000" w:rsidP="00000000" w:rsidRDefault="00000000" w:rsidRPr="00000000" w14:paraId="0000001E">
      <w:pPr>
        <w:spacing w:line="480" w:lineRule="auto"/>
        <w:rPr>
          <w:color w:val="212121"/>
        </w:rPr>
      </w:pPr>
      <w:r w:rsidDel="00000000" w:rsidR="00000000" w:rsidRPr="00000000">
        <w:rPr>
          <w:rtl w:val="0"/>
        </w:rPr>
      </w:r>
    </w:p>
    <w:p w:rsidR="00000000" w:rsidDel="00000000" w:rsidP="00000000" w:rsidRDefault="00000000" w:rsidRPr="00000000" w14:paraId="0000001F">
      <w:pPr>
        <w:spacing w:line="480" w:lineRule="auto"/>
        <w:ind w:left="0" w:firstLine="0"/>
        <w:rPr>
          <w:color w:val="212121"/>
        </w:rPr>
      </w:pPr>
      <w:r w:rsidDel="00000000" w:rsidR="00000000" w:rsidRPr="00000000">
        <w:rPr>
          <w:rtl w:val="0"/>
        </w:rPr>
      </w:r>
    </w:p>
    <w:sectPr>
      <w:headerReference r:id="rId3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t xml:space="preserve">February 11, 2024</w:t>
      <w:tab/>
      <w:tab/>
      <w:tab/>
      <w:tab/>
      <w:tab/>
      <w:tab/>
      <w:tab/>
      <w:tab/>
      <w:tab/>
      <w:t xml:space="preserve">Paul Costes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ubmed.ncbi.nlm.nih.gov/35194352/" TargetMode="External"/><Relationship Id="rId22" Type="http://schemas.openxmlformats.org/officeDocument/2006/relationships/hyperlink" Target="https://pubmed.ncbi.nlm.nih.gov/35194352/" TargetMode="External"/><Relationship Id="rId21" Type="http://schemas.openxmlformats.org/officeDocument/2006/relationships/hyperlink" Target="https://pubmed.ncbi.nlm.nih.gov/35194352/" TargetMode="External"/><Relationship Id="rId24" Type="http://schemas.openxmlformats.org/officeDocument/2006/relationships/hyperlink" Target="https://pubmed.ncbi.nlm.nih.gov/35194352/" TargetMode="External"/><Relationship Id="rId23" Type="http://schemas.openxmlformats.org/officeDocument/2006/relationships/hyperlink" Target="https://pubmed.ncbi.nlm.nih.gov/3519435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med.ncbi.nlm.nih.gov/35194352/" TargetMode="External"/><Relationship Id="rId26" Type="http://schemas.openxmlformats.org/officeDocument/2006/relationships/hyperlink" Target="https://pubmed.ncbi.nlm.nih.gov/35194352/" TargetMode="External"/><Relationship Id="rId25" Type="http://schemas.openxmlformats.org/officeDocument/2006/relationships/hyperlink" Target="https://pubmed.ncbi.nlm.nih.gov/35194352/" TargetMode="External"/><Relationship Id="rId28" Type="http://schemas.openxmlformats.org/officeDocument/2006/relationships/hyperlink" Target="https://pubmed.ncbi.nlm.nih.gov/35194352/" TargetMode="External"/><Relationship Id="rId27" Type="http://schemas.openxmlformats.org/officeDocument/2006/relationships/hyperlink" Target="https://pubmed.ncbi.nlm.nih.gov/35194352/" TargetMode="External"/><Relationship Id="rId5" Type="http://schemas.openxmlformats.org/officeDocument/2006/relationships/styles" Target="styles.xml"/><Relationship Id="rId6" Type="http://schemas.openxmlformats.org/officeDocument/2006/relationships/hyperlink" Target="https://cybercrimejournal.com/menuscript/index.php/cybercrimejournal/article/view/186/68" TargetMode="External"/><Relationship Id="rId29" Type="http://schemas.openxmlformats.org/officeDocument/2006/relationships/hyperlink" Target="https://pubmed.ncbi.nlm.nih.gov/35194352/" TargetMode="External"/><Relationship Id="rId7" Type="http://schemas.openxmlformats.org/officeDocument/2006/relationships/hyperlink" Target="https://pubmed.ncbi.nlm.nih.gov/35194352/" TargetMode="External"/><Relationship Id="rId8" Type="http://schemas.openxmlformats.org/officeDocument/2006/relationships/hyperlink" Target="https://pubmed.ncbi.nlm.nih.gov/35194352/" TargetMode="External"/><Relationship Id="rId31" Type="http://schemas.openxmlformats.org/officeDocument/2006/relationships/hyperlink" Target="https://pubmed.ncbi.nlm.nih.gov/35194352/" TargetMode="External"/><Relationship Id="rId30" Type="http://schemas.openxmlformats.org/officeDocument/2006/relationships/hyperlink" Target="https://pubmed.ncbi.nlm.nih.gov/35194352/" TargetMode="External"/><Relationship Id="rId11" Type="http://schemas.openxmlformats.org/officeDocument/2006/relationships/hyperlink" Target="https://pubmed.ncbi.nlm.nih.gov/35194352/" TargetMode="External"/><Relationship Id="rId33" Type="http://schemas.openxmlformats.org/officeDocument/2006/relationships/hyperlink" Target="https://pubmed.ncbi.nlm.nih.gov/35194352/" TargetMode="External"/><Relationship Id="rId10" Type="http://schemas.openxmlformats.org/officeDocument/2006/relationships/hyperlink" Target="https://pubmed.ncbi.nlm.nih.gov/35194352/" TargetMode="External"/><Relationship Id="rId32" Type="http://schemas.openxmlformats.org/officeDocument/2006/relationships/hyperlink" Target="https://pubmed.ncbi.nlm.nih.gov/35194352/" TargetMode="External"/><Relationship Id="rId13" Type="http://schemas.openxmlformats.org/officeDocument/2006/relationships/hyperlink" Target="https://pubmed.ncbi.nlm.nih.gov/35194352/" TargetMode="External"/><Relationship Id="rId35" Type="http://schemas.openxmlformats.org/officeDocument/2006/relationships/hyperlink" Target="https://pubmed.ncbi.nlm.nih.gov/35194352/" TargetMode="External"/><Relationship Id="rId12" Type="http://schemas.openxmlformats.org/officeDocument/2006/relationships/hyperlink" Target="https://pubmed.ncbi.nlm.nih.gov/35194352/" TargetMode="External"/><Relationship Id="rId34" Type="http://schemas.openxmlformats.org/officeDocument/2006/relationships/hyperlink" Target="https://pubmed.ncbi.nlm.nih.gov/35194352/" TargetMode="External"/><Relationship Id="rId15" Type="http://schemas.openxmlformats.org/officeDocument/2006/relationships/hyperlink" Target="https://pubmed.ncbi.nlm.nih.gov/35194352/" TargetMode="External"/><Relationship Id="rId14" Type="http://schemas.openxmlformats.org/officeDocument/2006/relationships/image" Target="media/image1.gif"/><Relationship Id="rId36" Type="http://schemas.openxmlformats.org/officeDocument/2006/relationships/header" Target="header1.xml"/><Relationship Id="rId17" Type="http://schemas.openxmlformats.org/officeDocument/2006/relationships/hyperlink" Target="https://pubmed.ncbi.nlm.nih.gov/35194352/" TargetMode="External"/><Relationship Id="rId16" Type="http://schemas.openxmlformats.org/officeDocument/2006/relationships/hyperlink" Target="https://pubmed.ncbi.nlm.nih.gov/35194352/" TargetMode="External"/><Relationship Id="rId19" Type="http://schemas.openxmlformats.org/officeDocument/2006/relationships/hyperlink" Target="https://pubmed.ncbi.nlm.nih.gov/35194352/" TargetMode="External"/><Relationship Id="rId18" Type="http://schemas.openxmlformats.org/officeDocument/2006/relationships/hyperlink" Target="https://pubmed.ncbi.nlm.nih.gov/3519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