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7A7B" w14:textId="77777777" w:rsidR="00823A16" w:rsidRPr="00665E65" w:rsidRDefault="00823A16" w:rsidP="00665E65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77B352B7" w14:textId="77777777" w:rsidR="00823A16" w:rsidRPr="00665E65" w:rsidRDefault="00823A16" w:rsidP="00665E65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4A6FB2C" w14:textId="77777777" w:rsidR="00823A16" w:rsidRPr="00665E65" w:rsidRDefault="00823A16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712CF5A2" w14:textId="35792C58" w:rsidR="00117AFD" w:rsidRPr="00665E65" w:rsidRDefault="00823A16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t>Policy Analysis Paper</w:t>
      </w:r>
    </w:p>
    <w:p w14:paraId="64D84475" w14:textId="77777777" w:rsidR="00117AFD" w:rsidRPr="00665E65" w:rsidRDefault="00117AFD" w:rsidP="00665E65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57C7190A" w14:textId="0266F1FA" w:rsidR="00117AFD" w:rsidRPr="00665E65" w:rsidRDefault="0073005E" w:rsidP="00665E65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Rythem Anderson-Seawell</w:t>
      </w:r>
    </w:p>
    <w:p w14:paraId="17C8B29F" w14:textId="66EDA301" w:rsidR="00117AFD" w:rsidRPr="00665E65" w:rsidRDefault="00117AFD" w:rsidP="0073005E">
      <w:pPr>
        <w:spacing w:after="0" w:line="480" w:lineRule="auto"/>
        <w:rPr>
          <w:rFonts w:ascii="Times New Roman" w:hAnsi="Times New Roman" w:cs="Times New Roman"/>
        </w:rPr>
      </w:pPr>
    </w:p>
    <w:p w14:paraId="763F4D9E" w14:textId="35F4EE2C" w:rsidR="00823A16" w:rsidRPr="00665E65" w:rsidRDefault="00823A16" w:rsidP="0073005E">
      <w:pPr>
        <w:spacing w:after="0" w:line="480" w:lineRule="auto"/>
        <w:rPr>
          <w:rFonts w:ascii="Times New Roman" w:hAnsi="Times New Roman" w:cs="Times New Roman"/>
        </w:rPr>
      </w:pPr>
    </w:p>
    <w:p w14:paraId="599BA640" w14:textId="77777777" w:rsidR="00823A16" w:rsidRPr="00665E65" w:rsidRDefault="00823A16" w:rsidP="00665E65">
      <w:pPr>
        <w:spacing w:after="0" w:line="480" w:lineRule="auto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br w:type="page"/>
      </w:r>
    </w:p>
    <w:p w14:paraId="0A3EBEC4" w14:textId="77777777" w:rsidR="00117AFD" w:rsidRPr="00665E65" w:rsidRDefault="00117AFD" w:rsidP="00665E65">
      <w:pPr>
        <w:spacing w:after="0" w:line="480" w:lineRule="auto"/>
        <w:rPr>
          <w:rFonts w:ascii="Times New Roman" w:hAnsi="Times New Roman" w:cs="Times New Roman"/>
        </w:rPr>
      </w:pPr>
    </w:p>
    <w:p w14:paraId="25914AA4" w14:textId="7F6741C5" w:rsidR="00823A16" w:rsidRPr="00665E65" w:rsidRDefault="00823A16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t>Policy Analysis Paper</w:t>
      </w:r>
    </w:p>
    <w:p w14:paraId="017FCD6E" w14:textId="1D3786E9" w:rsidR="00635789" w:rsidRPr="00665E65" w:rsidRDefault="00D27F00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t>Assessing the Effectiveness of the GDPR: A Four-Dimensional Framework</w:t>
      </w:r>
    </w:p>
    <w:p w14:paraId="033E9EDF" w14:textId="3512E84C" w:rsidR="00D27F00" w:rsidRPr="00665E65" w:rsidRDefault="00D27F00" w:rsidP="00665E6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>The General Data Protection Regulation (GDPR) is the cornerstone of any data privacy standards in the world</w:t>
      </w:r>
      <w:r w:rsidR="00603A0A" w:rsidRPr="00665E65">
        <w:rPr>
          <w:rFonts w:ascii="Times New Roman" w:hAnsi="Times New Roman" w:cs="Times New Roman"/>
        </w:rPr>
        <w:t>, and the requirements imposed on those data organizations that deal with data are</w:t>
      </w:r>
      <w:r w:rsidRPr="00665E65">
        <w:rPr>
          <w:rFonts w:ascii="Times New Roman" w:hAnsi="Times New Roman" w:cs="Times New Roman"/>
        </w:rPr>
        <w:t xml:space="preserve"> very stringent. To assess systematically how effective </w:t>
      </w:r>
      <w:r w:rsidR="006C4C8D" w:rsidRPr="00665E65">
        <w:rPr>
          <w:rFonts w:ascii="Times New Roman" w:hAnsi="Times New Roman" w:cs="Times New Roman"/>
        </w:rPr>
        <w:t>specific</w:t>
      </w:r>
      <w:r w:rsidR="00603A0A" w:rsidRPr="00665E65">
        <w:rPr>
          <w:rFonts w:ascii="Times New Roman" w:hAnsi="Times New Roman" w:cs="Times New Roman"/>
        </w:rPr>
        <w:t xml:space="preserve"> metrics are for compliance and enforcement, individual rights realization, economic and innovation impact, and cross-border influence are to be considered on a four-dimensional</w:t>
      </w:r>
      <w:r w:rsidRPr="00665E65">
        <w:rPr>
          <w:rFonts w:ascii="Times New Roman" w:hAnsi="Times New Roman" w:cs="Times New Roman"/>
        </w:rPr>
        <w:t xml:space="preserve"> framework. Such a structured approach ensures the study includes everything that pertains to GDPR success and challenges.</w:t>
      </w:r>
    </w:p>
    <w:p w14:paraId="57124620" w14:textId="0F88C9FC" w:rsidR="00D14865" w:rsidRPr="00665E65" w:rsidRDefault="00D14865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t>Compliance and Enforcement Metrics</w:t>
      </w:r>
    </w:p>
    <w:p w14:paraId="54187022" w14:textId="7CCE635D" w:rsidR="00D14865" w:rsidRPr="00665E65" w:rsidRDefault="00D14865" w:rsidP="00665E6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 xml:space="preserve">Measuring GDPR’s effectiveness includes counting compliance rates and actions taken. Thus, organizations worldwide have had to adapt to </w:t>
      </w:r>
      <w:proofErr w:type="gramStart"/>
      <w:r w:rsidRPr="00665E65">
        <w:rPr>
          <w:rFonts w:ascii="Times New Roman" w:hAnsi="Times New Roman" w:cs="Times New Roman"/>
        </w:rPr>
        <w:t>all of</w:t>
      </w:r>
      <w:proofErr w:type="gramEnd"/>
      <w:r w:rsidRPr="00665E65">
        <w:rPr>
          <w:rFonts w:ascii="Times New Roman" w:hAnsi="Times New Roman" w:cs="Times New Roman"/>
        </w:rPr>
        <w:t xml:space="preserve"> the mandates set by GDPR, such as regularly conducting risk assessments, performing data protection impact assessments (DPIAs), and making themselves accountable in data processing</w:t>
      </w:r>
      <w:r w:rsidR="0098554E" w:rsidRPr="00665E65">
        <w:rPr>
          <w:rFonts w:ascii="Times New Roman" w:hAnsi="Times New Roman" w:cs="Times New Roman"/>
        </w:rPr>
        <w:t xml:space="preserve"> </w:t>
      </w:r>
      <w:r w:rsidR="00DD7A7A" w:rsidRPr="00665E65">
        <w:rPr>
          <w:rFonts w:ascii="Times New Roman" w:hAnsi="Times New Roman" w:cs="Times New Roman"/>
        </w:rPr>
        <w:t>(</w:t>
      </w:r>
      <w:proofErr w:type="spellStart"/>
      <w:r w:rsidR="00DD7A7A" w:rsidRPr="00665E65">
        <w:rPr>
          <w:rFonts w:ascii="Times New Roman" w:hAnsi="Times New Roman" w:cs="Times New Roman"/>
        </w:rPr>
        <w:t>Centraleyes</w:t>
      </w:r>
      <w:proofErr w:type="spellEnd"/>
      <w:r w:rsidR="00DD7A7A" w:rsidRPr="00665E65">
        <w:rPr>
          <w:rFonts w:ascii="Times New Roman" w:hAnsi="Times New Roman" w:cs="Times New Roman"/>
        </w:rPr>
        <w:t>, 2025)</w:t>
      </w:r>
      <w:r w:rsidRPr="00665E65">
        <w:rPr>
          <w:rFonts w:ascii="Times New Roman" w:hAnsi="Times New Roman" w:cs="Times New Roman"/>
        </w:rPr>
        <w:t xml:space="preserve">. </w:t>
      </w:r>
      <w:r w:rsidR="0099797A" w:rsidRPr="00665E65">
        <w:rPr>
          <w:rFonts w:ascii="Times New Roman" w:hAnsi="Times New Roman" w:cs="Times New Roman"/>
        </w:rPr>
        <w:t xml:space="preserve">As demonstrated by </w:t>
      </w:r>
      <w:r w:rsidR="00823A16" w:rsidRPr="00665E65">
        <w:rPr>
          <w:rFonts w:ascii="Times New Roman" w:hAnsi="Times New Roman" w:cs="Times New Roman"/>
        </w:rPr>
        <w:t>high-profile fines issued by France’s CNIL to Google LLC for insufficient transparency regarding data consent practices (CNIL, 2019), GDPR’s enforcement has been clear,</w:t>
      </w:r>
      <w:r w:rsidR="0099797A" w:rsidRPr="00665E65">
        <w:rPr>
          <w:rFonts w:ascii="Times New Roman" w:hAnsi="Times New Roman" w:cs="Times New Roman"/>
        </w:rPr>
        <w:t xml:space="preserve"> and parties reluctant to comply have seen the results</w:t>
      </w:r>
      <w:r w:rsidRPr="00665E65">
        <w:rPr>
          <w:rFonts w:ascii="Times New Roman" w:hAnsi="Times New Roman" w:cs="Times New Roman"/>
        </w:rPr>
        <w:t xml:space="preserve">. Businesses have adopted standardized compliance frameworks, </w:t>
      </w:r>
      <w:r w:rsidR="006C4C8D" w:rsidRPr="00665E65">
        <w:rPr>
          <w:rFonts w:ascii="Times New Roman" w:hAnsi="Times New Roman" w:cs="Times New Roman"/>
        </w:rPr>
        <w:t>including ISO/IEC 27001, to</w:t>
      </w:r>
      <w:r w:rsidRPr="00665E65">
        <w:rPr>
          <w:rFonts w:ascii="Times New Roman" w:hAnsi="Times New Roman" w:cs="Times New Roman"/>
        </w:rPr>
        <w:t xml:space="preserve"> align with GDPR’s technical and organizational security measures. </w:t>
      </w:r>
      <w:r w:rsidR="00603A0A" w:rsidRPr="00665E65">
        <w:rPr>
          <w:rFonts w:ascii="Times New Roman" w:hAnsi="Times New Roman" w:cs="Times New Roman"/>
        </w:rPr>
        <w:t>Together, these metrics measure</w:t>
      </w:r>
      <w:r w:rsidRPr="00665E65">
        <w:rPr>
          <w:rFonts w:ascii="Times New Roman" w:hAnsi="Times New Roman" w:cs="Times New Roman"/>
        </w:rPr>
        <w:t xml:space="preserve"> how successful GDPR was at encouraging organizations to take data protection seriously</w:t>
      </w:r>
      <w:r w:rsidR="00665E65" w:rsidRPr="00665E65">
        <w:rPr>
          <w:rFonts w:ascii="Times New Roman" w:hAnsi="Times New Roman" w:cs="Times New Roman"/>
        </w:rPr>
        <w:t>. However,</w:t>
      </w:r>
      <w:r w:rsidRPr="00665E65">
        <w:rPr>
          <w:rFonts w:ascii="Times New Roman" w:hAnsi="Times New Roman" w:cs="Times New Roman"/>
        </w:rPr>
        <w:t xml:space="preserve"> </w:t>
      </w:r>
      <w:r w:rsidR="00F62594" w:rsidRPr="00665E65">
        <w:rPr>
          <w:rFonts w:ascii="Times New Roman" w:hAnsi="Times New Roman" w:cs="Times New Roman"/>
        </w:rPr>
        <w:t>there is still</w:t>
      </w:r>
      <w:r w:rsidR="006C4C8D" w:rsidRPr="00665E65">
        <w:rPr>
          <w:rFonts w:ascii="Times New Roman" w:hAnsi="Times New Roman" w:cs="Times New Roman"/>
        </w:rPr>
        <w:t xml:space="preserve"> some way </w:t>
      </w:r>
      <w:r w:rsidR="00950A95" w:rsidRPr="00665E65">
        <w:rPr>
          <w:rFonts w:ascii="Times New Roman" w:hAnsi="Times New Roman" w:cs="Times New Roman"/>
        </w:rPr>
        <w:t>to ensure</w:t>
      </w:r>
      <w:r w:rsidR="006C4C8D" w:rsidRPr="00665E65">
        <w:rPr>
          <w:rFonts w:ascii="Times New Roman" w:hAnsi="Times New Roman" w:cs="Times New Roman"/>
        </w:rPr>
        <w:t xml:space="preserve"> SMEs comply</w:t>
      </w:r>
      <w:r w:rsidRPr="00665E65">
        <w:rPr>
          <w:rFonts w:ascii="Times New Roman" w:hAnsi="Times New Roman" w:cs="Times New Roman"/>
        </w:rPr>
        <w:t xml:space="preserve"> with the GDPR.</w:t>
      </w:r>
    </w:p>
    <w:p w14:paraId="221F499A" w14:textId="774C7F47" w:rsidR="00D14865" w:rsidRPr="00665E65" w:rsidRDefault="00D14865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t>Individual Rights Realization</w:t>
      </w:r>
    </w:p>
    <w:p w14:paraId="1C9D84B5" w14:textId="0676FA15" w:rsidR="005A3F6D" w:rsidRPr="00665E65" w:rsidRDefault="005A3F6D" w:rsidP="00665E6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lastRenderedPageBreak/>
        <w:t xml:space="preserve">The power of GDPR </w:t>
      </w:r>
      <w:r w:rsidR="00603A0A" w:rsidRPr="00665E65">
        <w:rPr>
          <w:rFonts w:ascii="Times New Roman" w:hAnsi="Times New Roman" w:cs="Times New Roman"/>
        </w:rPr>
        <w:t>allows</w:t>
      </w:r>
      <w:r w:rsidRPr="00665E65">
        <w:rPr>
          <w:rFonts w:ascii="Times New Roman" w:hAnsi="Times New Roman" w:cs="Times New Roman"/>
        </w:rPr>
        <w:t xml:space="preserve"> users to </w:t>
      </w:r>
      <w:r w:rsidR="006C4C8D" w:rsidRPr="00665E65">
        <w:rPr>
          <w:rFonts w:ascii="Times New Roman" w:hAnsi="Times New Roman" w:cs="Times New Roman"/>
        </w:rPr>
        <w:t>control and decide what happens to their data, including the right of access, rectification, and</w:t>
      </w:r>
      <w:r w:rsidRPr="00665E65">
        <w:rPr>
          <w:rFonts w:ascii="Times New Roman" w:hAnsi="Times New Roman" w:cs="Times New Roman"/>
        </w:rPr>
        <w:t xml:space="preserve"> </w:t>
      </w:r>
      <w:r w:rsidR="00B729E6" w:rsidRPr="00665E65">
        <w:rPr>
          <w:rFonts w:ascii="Times New Roman" w:hAnsi="Times New Roman" w:cs="Times New Roman"/>
        </w:rPr>
        <w:t>deletion</w:t>
      </w:r>
      <w:r w:rsidRPr="00665E65">
        <w:rPr>
          <w:rFonts w:ascii="Times New Roman" w:hAnsi="Times New Roman" w:cs="Times New Roman"/>
        </w:rPr>
        <w:t xml:space="preserve">. Public awareness of these rights has </w:t>
      </w:r>
      <w:r w:rsidR="006C4C8D" w:rsidRPr="00665E65">
        <w:rPr>
          <w:rFonts w:ascii="Times New Roman" w:hAnsi="Times New Roman" w:cs="Times New Roman"/>
        </w:rPr>
        <w:t>dramatically</w:t>
      </w:r>
      <w:r w:rsidRPr="00665E65">
        <w:rPr>
          <w:rFonts w:ascii="Times New Roman" w:hAnsi="Times New Roman" w:cs="Times New Roman"/>
        </w:rPr>
        <w:t xml:space="preserve"> increased</w:t>
      </w:r>
      <w:r w:rsidR="006C4807" w:rsidRPr="00665E65">
        <w:rPr>
          <w:rFonts w:ascii="Times New Roman" w:hAnsi="Times New Roman" w:cs="Times New Roman"/>
        </w:rPr>
        <w:t xml:space="preserve"> since </w:t>
      </w:r>
      <w:r w:rsidRPr="00665E65">
        <w:rPr>
          <w:rFonts w:ascii="Times New Roman" w:hAnsi="Times New Roman" w:cs="Times New Roman"/>
        </w:rPr>
        <w:t xml:space="preserve">one in five respondents would be </w:t>
      </w:r>
      <w:r w:rsidR="00603A0A" w:rsidRPr="00665E65">
        <w:rPr>
          <w:rFonts w:ascii="Times New Roman" w:hAnsi="Times New Roman" w:cs="Times New Roman"/>
        </w:rPr>
        <w:t>highly</w:t>
      </w:r>
      <w:r w:rsidRPr="00665E65">
        <w:rPr>
          <w:rFonts w:ascii="Times New Roman" w:hAnsi="Times New Roman" w:cs="Times New Roman"/>
        </w:rPr>
        <w:t xml:space="preserve"> concerned about their data being used without consent, more than 80% would be very concerned </w:t>
      </w:r>
      <w:r w:rsidR="00114FB4" w:rsidRPr="00665E65">
        <w:rPr>
          <w:rFonts w:ascii="Times New Roman" w:hAnsi="Times New Roman" w:cs="Times New Roman"/>
        </w:rPr>
        <w:t>(</w:t>
      </w:r>
      <w:proofErr w:type="spellStart"/>
      <w:r w:rsidR="00114FB4" w:rsidRPr="00665E65">
        <w:rPr>
          <w:rFonts w:ascii="Times New Roman" w:hAnsi="Times New Roman" w:cs="Times New Roman"/>
        </w:rPr>
        <w:t>Zelianin</w:t>
      </w:r>
      <w:proofErr w:type="spellEnd"/>
      <w:r w:rsidR="00114FB4" w:rsidRPr="00665E65">
        <w:rPr>
          <w:rFonts w:ascii="Times New Roman" w:hAnsi="Times New Roman" w:cs="Times New Roman"/>
        </w:rPr>
        <w:t>, 2022)</w:t>
      </w:r>
      <w:r w:rsidRPr="00665E65">
        <w:rPr>
          <w:rFonts w:ascii="Times New Roman" w:hAnsi="Times New Roman" w:cs="Times New Roman"/>
        </w:rPr>
        <w:t xml:space="preserve">. As a result of </w:t>
      </w:r>
      <w:r w:rsidR="00603A0A" w:rsidRPr="00665E65">
        <w:rPr>
          <w:rFonts w:ascii="Times New Roman" w:hAnsi="Times New Roman" w:cs="Times New Roman"/>
        </w:rPr>
        <w:t>the emphasis on transparency in the regulation, privacy policies are clearer,</w:t>
      </w:r>
      <w:r w:rsidRPr="00665E65">
        <w:rPr>
          <w:rFonts w:ascii="Times New Roman" w:hAnsi="Times New Roman" w:cs="Times New Roman"/>
        </w:rPr>
        <w:t xml:space="preserve"> and mechanisms for making DSARs are more accessible. However, these requests are still not well served by organizations’ </w:t>
      </w:r>
      <w:r w:rsidR="006C4C8D" w:rsidRPr="00665E65">
        <w:rPr>
          <w:rFonts w:ascii="Times New Roman" w:hAnsi="Times New Roman" w:cs="Times New Roman"/>
        </w:rPr>
        <w:t>responses</w:t>
      </w:r>
      <w:r w:rsidR="00603A0A" w:rsidRPr="00665E65">
        <w:rPr>
          <w:rFonts w:ascii="Times New Roman" w:hAnsi="Times New Roman" w:cs="Times New Roman"/>
        </w:rPr>
        <w:t>. Some</w:t>
      </w:r>
      <w:r w:rsidRPr="00665E65">
        <w:rPr>
          <w:rFonts w:ascii="Times New Roman" w:hAnsi="Times New Roman" w:cs="Times New Roman"/>
        </w:rPr>
        <w:t xml:space="preserve"> SMEs struggle to respond due to limited resources</w:t>
      </w:r>
      <w:r w:rsidR="0049123C" w:rsidRPr="00665E65">
        <w:rPr>
          <w:rFonts w:ascii="Times New Roman" w:hAnsi="Times New Roman" w:cs="Times New Roman"/>
        </w:rPr>
        <w:t xml:space="preserve"> (Klinger et al., 2023)</w:t>
      </w:r>
      <w:r w:rsidRPr="00665E65">
        <w:rPr>
          <w:rFonts w:ascii="Times New Roman" w:hAnsi="Times New Roman" w:cs="Times New Roman"/>
        </w:rPr>
        <w:t xml:space="preserve">. </w:t>
      </w:r>
      <w:r w:rsidR="00421CAC" w:rsidRPr="00665E65">
        <w:rPr>
          <w:rFonts w:ascii="Times New Roman" w:hAnsi="Times New Roman" w:cs="Times New Roman"/>
        </w:rPr>
        <w:t>Conversely</w:t>
      </w:r>
      <w:r w:rsidRPr="00665E65">
        <w:rPr>
          <w:rFonts w:ascii="Times New Roman" w:hAnsi="Times New Roman" w:cs="Times New Roman"/>
        </w:rPr>
        <w:t>, the efforts to address these problems have not hindered GDPR from being what it is</w:t>
      </w:r>
      <w:r w:rsidR="00421CAC" w:rsidRPr="00665E65">
        <w:rPr>
          <w:rFonts w:ascii="Times New Roman" w:hAnsi="Times New Roman" w:cs="Times New Roman"/>
        </w:rPr>
        <w:t xml:space="preserve"> bec</w:t>
      </w:r>
      <w:r w:rsidR="00A008B9" w:rsidRPr="00665E65">
        <w:rPr>
          <w:rFonts w:ascii="Times New Roman" w:hAnsi="Times New Roman" w:cs="Times New Roman"/>
        </w:rPr>
        <w:t xml:space="preserve">ause of </w:t>
      </w:r>
      <w:r w:rsidR="006C4C8D" w:rsidRPr="00665E65">
        <w:rPr>
          <w:rFonts w:ascii="Times New Roman" w:hAnsi="Times New Roman" w:cs="Times New Roman"/>
        </w:rPr>
        <w:t>the cementation of individual privacy rights</w:t>
      </w:r>
      <w:r w:rsidRPr="00665E65">
        <w:rPr>
          <w:rFonts w:ascii="Times New Roman" w:hAnsi="Times New Roman" w:cs="Times New Roman"/>
        </w:rPr>
        <w:t xml:space="preserve"> and the provision of a culture of accountability in data controllers.</w:t>
      </w:r>
    </w:p>
    <w:p w14:paraId="6A1A40EE" w14:textId="5E1E6E7B" w:rsidR="005A3F6D" w:rsidRPr="00665E65" w:rsidRDefault="005A3F6D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t>Economic and Innovation Impact</w:t>
      </w:r>
    </w:p>
    <w:p w14:paraId="37F892BD" w14:textId="2C65B156" w:rsidR="008165D0" w:rsidRPr="00665E65" w:rsidRDefault="008165D0" w:rsidP="00665E6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 xml:space="preserve">Nonetheless, the economic ramifications of GDPR are </w:t>
      </w:r>
      <w:r w:rsidR="006C4C8D" w:rsidRPr="00665E65">
        <w:rPr>
          <w:rFonts w:ascii="Times New Roman" w:hAnsi="Times New Roman" w:cs="Times New Roman"/>
        </w:rPr>
        <w:t>multi-faceted</w:t>
      </w:r>
      <w:r w:rsidRPr="00665E65">
        <w:rPr>
          <w:rFonts w:ascii="Times New Roman" w:hAnsi="Times New Roman" w:cs="Times New Roman"/>
        </w:rPr>
        <w:t xml:space="preserve"> and </w:t>
      </w:r>
      <w:r w:rsidR="006C4C8D" w:rsidRPr="00665E65">
        <w:rPr>
          <w:rFonts w:ascii="Times New Roman" w:hAnsi="Times New Roman" w:cs="Times New Roman"/>
        </w:rPr>
        <w:t>involve</w:t>
      </w:r>
      <w:r w:rsidRPr="00665E65">
        <w:rPr>
          <w:rFonts w:ascii="Times New Roman" w:hAnsi="Times New Roman" w:cs="Times New Roman"/>
        </w:rPr>
        <w:t xml:space="preserve"> working out its operational costs and technological transformation. Though compliance has placed financial burdens, especially on SMEs, it has also catalyzed innovation in </w:t>
      </w:r>
      <w:r w:rsidR="006C4C8D" w:rsidRPr="00665E65">
        <w:rPr>
          <w:rFonts w:ascii="Times New Roman" w:hAnsi="Times New Roman" w:cs="Times New Roman"/>
        </w:rPr>
        <w:t>privacy-enhancing</w:t>
      </w:r>
      <w:r w:rsidRPr="00665E65">
        <w:rPr>
          <w:rFonts w:ascii="Times New Roman" w:hAnsi="Times New Roman" w:cs="Times New Roman"/>
        </w:rPr>
        <w:t xml:space="preserve"> technologies (PETs) like encryption tools and automated compliance platforms. This regulation has forced </w:t>
      </w:r>
      <w:r w:rsidR="006C4C8D" w:rsidRPr="00665E65">
        <w:rPr>
          <w:rFonts w:ascii="Times New Roman" w:hAnsi="Times New Roman" w:cs="Times New Roman"/>
        </w:rPr>
        <w:t xml:space="preserve">businesses to store less </w:t>
      </w:r>
      <w:r w:rsidRPr="00665E65">
        <w:rPr>
          <w:rFonts w:ascii="Times New Roman" w:hAnsi="Times New Roman" w:cs="Times New Roman"/>
        </w:rPr>
        <w:t xml:space="preserve">data and avoid the risk of breach </w:t>
      </w:r>
      <w:r w:rsidR="00122095" w:rsidRPr="00665E65">
        <w:rPr>
          <w:rFonts w:ascii="Times New Roman" w:hAnsi="Times New Roman" w:cs="Times New Roman"/>
        </w:rPr>
        <w:t>(Hasani et al., 2023)</w:t>
      </w:r>
      <w:r w:rsidRPr="00665E65">
        <w:rPr>
          <w:rFonts w:ascii="Times New Roman" w:hAnsi="Times New Roman" w:cs="Times New Roman"/>
        </w:rPr>
        <w:t xml:space="preserve">. GDPR has also sparked </w:t>
      </w:r>
      <w:r w:rsidR="006C4C8D" w:rsidRPr="00665E65">
        <w:rPr>
          <w:rFonts w:ascii="Times New Roman" w:hAnsi="Times New Roman" w:cs="Times New Roman"/>
        </w:rPr>
        <w:t xml:space="preserve">a new market for compliance software, with AI risk assessment tools </w:t>
      </w:r>
      <w:r w:rsidRPr="00665E65">
        <w:rPr>
          <w:rFonts w:ascii="Times New Roman" w:hAnsi="Times New Roman" w:cs="Times New Roman"/>
        </w:rPr>
        <w:t xml:space="preserve">in great demand. This indicates that GDPR not only </w:t>
      </w:r>
      <w:r w:rsidR="003D6A85" w:rsidRPr="00665E65">
        <w:rPr>
          <w:rFonts w:ascii="Times New Roman" w:hAnsi="Times New Roman" w:cs="Times New Roman"/>
        </w:rPr>
        <w:t>protects privacy but also serves</w:t>
      </w:r>
      <w:r w:rsidRPr="00665E65">
        <w:rPr>
          <w:rFonts w:ascii="Times New Roman" w:hAnsi="Times New Roman" w:cs="Times New Roman"/>
        </w:rPr>
        <w:t xml:space="preserve"> the purpose of economic adaptation and technological progress.</w:t>
      </w:r>
    </w:p>
    <w:p w14:paraId="5C06EFBD" w14:textId="6161A82C" w:rsidR="001D2181" w:rsidRPr="00665E65" w:rsidRDefault="001D2181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t>Cross-Border Influence</w:t>
      </w:r>
    </w:p>
    <w:p w14:paraId="3CF08BB8" w14:textId="0595520F" w:rsidR="001D2181" w:rsidRPr="00665E65" w:rsidRDefault="001D2181" w:rsidP="00665E6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 xml:space="preserve"> GDPR </w:t>
      </w:r>
      <w:r w:rsidR="00655175" w:rsidRPr="00665E65">
        <w:rPr>
          <w:rFonts w:ascii="Times New Roman" w:hAnsi="Times New Roman" w:cs="Times New Roman"/>
        </w:rPr>
        <w:t xml:space="preserve">is </w:t>
      </w:r>
      <w:r w:rsidRPr="00665E65">
        <w:rPr>
          <w:rFonts w:ascii="Times New Roman" w:hAnsi="Times New Roman" w:cs="Times New Roman"/>
        </w:rPr>
        <w:t>an extraterritorial monolith</w:t>
      </w:r>
      <w:r w:rsidR="003D6A85" w:rsidRPr="00665E65">
        <w:rPr>
          <w:rFonts w:ascii="Times New Roman" w:hAnsi="Times New Roman" w:cs="Times New Roman"/>
        </w:rPr>
        <w:t>,</w:t>
      </w:r>
      <w:r w:rsidRPr="00665E65">
        <w:rPr>
          <w:rFonts w:ascii="Times New Roman" w:hAnsi="Times New Roman" w:cs="Times New Roman"/>
        </w:rPr>
        <w:t xml:space="preserve"> </w:t>
      </w:r>
      <w:r w:rsidR="00655175" w:rsidRPr="00665E65">
        <w:rPr>
          <w:rFonts w:ascii="Times New Roman" w:hAnsi="Times New Roman" w:cs="Times New Roman"/>
        </w:rPr>
        <w:t xml:space="preserve">which has enabled </w:t>
      </w:r>
      <w:r w:rsidR="00797D7C" w:rsidRPr="00665E65">
        <w:rPr>
          <w:rFonts w:ascii="Times New Roman" w:hAnsi="Times New Roman" w:cs="Times New Roman"/>
        </w:rPr>
        <w:t xml:space="preserve">it </w:t>
      </w:r>
      <w:r w:rsidR="00655175" w:rsidRPr="00665E65">
        <w:rPr>
          <w:rFonts w:ascii="Times New Roman" w:hAnsi="Times New Roman" w:cs="Times New Roman"/>
        </w:rPr>
        <w:t>to be a global benchmark</w:t>
      </w:r>
      <w:r w:rsidRPr="00665E65">
        <w:rPr>
          <w:rFonts w:ascii="Times New Roman" w:hAnsi="Times New Roman" w:cs="Times New Roman"/>
        </w:rPr>
        <w:t xml:space="preserve">. For example, following the GDPR’s principles, California’s Consumer Privacy Act (CCPA) and Brazil’s General Data Protection Law (LGPD) likewise </w:t>
      </w:r>
      <w:r w:rsidR="003D6A85" w:rsidRPr="00665E65">
        <w:rPr>
          <w:rFonts w:ascii="Times New Roman" w:hAnsi="Times New Roman" w:cs="Times New Roman"/>
        </w:rPr>
        <w:t>include</w:t>
      </w:r>
      <w:r w:rsidRPr="00665E65">
        <w:rPr>
          <w:rFonts w:ascii="Times New Roman" w:hAnsi="Times New Roman" w:cs="Times New Roman"/>
        </w:rPr>
        <w:t xml:space="preserve"> such provisions</w:t>
      </w:r>
      <w:r w:rsidR="00204571" w:rsidRPr="00665E65">
        <w:rPr>
          <w:rFonts w:ascii="Times New Roman" w:hAnsi="Times New Roman" w:cs="Times New Roman"/>
        </w:rPr>
        <w:t xml:space="preserve"> (</w:t>
      </w:r>
      <w:proofErr w:type="spellStart"/>
      <w:r w:rsidR="00204571" w:rsidRPr="00665E65">
        <w:rPr>
          <w:rFonts w:ascii="Times New Roman" w:hAnsi="Times New Roman" w:cs="Times New Roman"/>
        </w:rPr>
        <w:t>Mesarcik</w:t>
      </w:r>
      <w:proofErr w:type="spellEnd"/>
      <w:r w:rsidR="00204571" w:rsidRPr="00665E65">
        <w:rPr>
          <w:rFonts w:ascii="Times New Roman" w:hAnsi="Times New Roman" w:cs="Times New Roman"/>
        </w:rPr>
        <w:t xml:space="preserve">, </w:t>
      </w:r>
      <w:r w:rsidR="00204571" w:rsidRPr="00665E65">
        <w:rPr>
          <w:rFonts w:ascii="Times New Roman" w:hAnsi="Times New Roman" w:cs="Times New Roman"/>
        </w:rPr>
        <w:lastRenderedPageBreak/>
        <w:t>2020)</w:t>
      </w:r>
      <w:r w:rsidRPr="00665E65">
        <w:rPr>
          <w:rFonts w:ascii="Times New Roman" w:hAnsi="Times New Roman" w:cs="Times New Roman"/>
        </w:rPr>
        <w:t xml:space="preserve">. Nevertheless, </w:t>
      </w:r>
      <w:r w:rsidR="003D6A85" w:rsidRPr="00665E65">
        <w:rPr>
          <w:rFonts w:ascii="Times New Roman" w:hAnsi="Times New Roman" w:cs="Times New Roman"/>
        </w:rPr>
        <w:t xml:space="preserve">cross-border data transfers remain </w:t>
      </w:r>
      <w:r w:rsidR="00984D24" w:rsidRPr="00665E65">
        <w:rPr>
          <w:rFonts w:ascii="Times New Roman" w:hAnsi="Times New Roman" w:cs="Times New Roman"/>
        </w:rPr>
        <w:t>difficult</w:t>
      </w:r>
      <w:r w:rsidR="003D6A85" w:rsidRPr="00665E65">
        <w:rPr>
          <w:rFonts w:ascii="Times New Roman" w:hAnsi="Times New Roman" w:cs="Times New Roman"/>
        </w:rPr>
        <w:t>, especially when there is no adequacy decision on the jurisdiction concerned, such as China,</w:t>
      </w:r>
      <w:r w:rsidRPr="00665E65">
        <w:rPr>
          <w:rFonts w:ascii="Times New Roman" w:hAnsi="Times New Roman" w:cs="Times New Roman"/>
        </w:rPr>
        <w:t xml:space="preserve"> under the Personal Information Protection Law (PIPL) </w:t>
      </w:r>
      <w:r w:rsidR="007C00D6" w:rsidRPr="00665E65">
        <w:rPr>
          <w:rFonts w:ascii="Times New Roman" w:hAnsi="Times New Roman" w:cs="Times New Roman"/>
        </w:rPr>
        <w:t>(Tan, 2024)</w:t>
      </w:r>
      <w:r w:rsidRPr="00665E65">
        <w:rPr>
          <w:rFonts w:ascii="Times New Roman" w:hAnsi="Times New Roman" w:cs="Times New Roman"/>
        </w:rPr>
        <w:t>. For example, the EU-US Data Privacy Framework established in 2023</w:t>
      </w:r>
      <w:r w:rsidR="003D6A85" w:rsidRPr="00665E65">
        <w:rPr>
          <w:rFonts w:ascii="Times New Roman" w:hAnsi="Times New Roman" w:cs="Times New Roman"/>
        </w:rPr>
        <w:t>, amongst others,</w:t>
      </w:r>
      <w:r w:rsidRPr="00665E65">
        <w:rPr>
          <w:rFonts w:ascii="Times New Roman" w:hAnsi="Times New Roman" w:cs="Times New Roman"/>
        </w:rPr>
        <w:t xml:space="preserve"> seeks to harmonize international data flows and</w:t>
      </w:r>
      <w:r w:rsidR="003D6A85" w:rsidRPr="00665E65">
        <w:rPr>
          <w:rFonts w:ascii="Times New Roman" w:hAnsi="Times New Roman" w:cs="Times New Roman"/>
        </w:rPr>
        <w:t>, to the extent possible,</w:t>
      </w:r>
      <w:r w:rsidRPr="00665E65">
        <w:rPr>
          <w:rFonts w:ascii="Times New Roman" w:hAnsi="Times New Roman" w:cs="Times New Roman"/>
        </w:rPr>
        <w:t xml:space="preserve"> conform to the standards of GDPR </w:t>
      </w:r>
      <w:r w:rsidR="00984D24" w:rsidRPr="00665E65">
        <w:rPr>
          <w:rFonts w:ascii="Times New Roman" w:hAnsi="Times New Roman" w:cs="Times New Roman"/>
        </w:rPr>
        <w:t>(</w:t>
      </w:r>
      <w:proofErr w:type="spellStart"/>
      <w:r w:rsidR="00984D24" w:rsidRPr="00665E65">
        <w:rPr>
          <w:rFonts w:ascii="Times New Roman" w:hAnsi="Times New Roman" w:cs="Times New Roman"/>
        </w:rPr>
        <w:t>Compagnucci</w:t>
      </w:r>
      <w:proofErr w:type="spellEnd"/>
      <w:r w:rsidR="00984D24" w:rsidRPr="00665E65">
        <w:rPr>
          <w:rFonts w:ascii="Times New Roman" w:hAnsi="Times New Roman" w:cs="Times New Roman"/>
        </w:rPr>
        <w:t>, 2024)</w:t>
      </w:r>
      <w:r w:rsidRPr="00665E65">
        <w:rPr>
          <w:rFonts w:ascii="Times New Roman" w:hAnsi="Times New Roman" w:cs="Times New Roman"/>
        </w:rPr>
        <w:t>. However, GDPR reveals these dynamics for what they are – the role of GDPR in creating global data governance, though the way forward is yet to be fully realized.</w:t>
      </w:r>
    </w:p>
    <w:p w14:paraId="3A67881C" w14:textId="47A9E86D" w:rsidR="003D6A85" w:rsidRPr="00665E65" w:rsidRDefault="003D6A85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t>Conclusion</w:t>
      </w:r>
    </w:p>
    <w:p w14:paraId="51BE6C8E" w14:textId="617E34ED" w:rsidR="00600ECD" w:rsidRPr="00665E65" w:rsidRDefault="003D6A85" w:rsidP="00665E65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 xml:space="preserve">This framework highlights the </w:t>
      </w:r>
      <w:r w:rsidR="00603A0A" w:rsidRPr="00665E65">
        <w:rPr>
          <w:rFonts w:ascii="Times New Roman" w:hAnsi="Times New Roman" w:cs="Times New Roman"/>
        </w:rPr>
        <w:t>tremendous</w:t>
      </w:r>
      <w:r w:rsidRPr="00665E65">
        <w:rPr>
          <w:rFonts w:ascii="Times New Roman" w:hAnsi="Times New Roman" w:cs="Times New Roman"/>
        </w:rPr>
        <w:t xml:space="preserve"> impact GDPR will have on compliance, individual rights, economic practices, and global data governance. The regulation has successfully raised data protection standards and </w:t>
      </w:r>
      <w:r w:rsidR="006C4C8D" w:rsidRPr="00665E65">
        <w:rPr>
          <w:rFonts w:ascii="Times New Roman" w:hAnsi="Times New Roman" w:cs="Times New Roman"/>
        </w:rPr>
        <w:t xml:space="preserve">promoted innovation, but the implementation here differs for </w:t>
      </w:r>
      <w:r w:rsidR="00603A0A" w:rsidRPr="00665E65">
        <w:rPr>
          <w:rFonts w:ascii="Times New Roman" w:hAnsi="Times New Roman" w:cs="Times New Roman"/>
        </w:rPr>
        <w:t>smaller enterprises,</w:t>
      </w:r>
      <w:r w:rsidRPr="00665E65">
        <w:rPr>
          <w:rFonts w:ascii="Times New Roman" w:hAnsi="Times New Roman" w:cs="Times New Roman"/>
        </w:rPr>
        <w:t xml:space="preserve"> and the cross-border </w:t>
      </w:r>
      <w:r w:rsidR="00603A0A" w:rsidRPr="00665E65">
        <w:rPr>
          <w:rFonts w:ascii="Times New Roman" w:hAnsi="Times New Roman" w:cs="Times New Roman"/>
        </w:rPr>
        <w:t xml:space="preserve">issue </w:t>
      </w:r>
      <w:r w:rsidRPr="00665E65">
        <w:rPr>
          <w:rFonts w:ascii="Times New Roman" w:hAnsi="Times New Roman" w:cs="Times New Roman"/>
        </w:rPr>
        <w:t xml:space="preserve">still exists. Future assessments should watch future enforcement trends, technology advances, and international regulatory convergence to </w:t>
      </w:r>
      <w:r w:rsidR="00603A0A" w:rsidRPr="00665E65">
        <w:rPr>
          <w:rFonts w:ascii="Times New Roman" w:hAnsi="Times New Roman" w:cs="Times New Roman"/>
        </w:rPr>
        <w:t>ensure</w:t>
      </w:r>
      <w:r w:rsidRPr="00665E65">
        <w:rPr>
          <w:rFonts w:ascii="Times New Roman" w:hAnsi="Times New Roman" w:cs="Times New Roman"/>
        </w:rPr>
        <w:t xml:space="preserve"> GDPR continues to matter in the </w:t>
      </w:r>
      <w:proofErr w:type="gramStart"/>
      <w:r w:rsidRPr="00665E65">
        <w:rPr>
          <w:rFonts w:ascii="Times New Roman" w:hAnsi="Times New Roman" w:cs="Times New Roman"/>
        </w:rPr>
        <w:t>increasingly</w:t>
      </w:r>
      <w:proofErr w:type="gramEnd"/>
      <w:r w:rsidRPr="00665E65">
        <w:rPr>
          <w:rFonts w:ascii="Times New Roman" w:hAnsi="Times New Roman" w:cs="Times New Roman"/>
        </w:rPr>
        <w:t xml:space="preserve"> digital world.</w:t>
      </w:r>
    </w:p>
    <w:p w14:paraId="41C15EC9" w14:textId="77777777" w:rsidR="00600ECD" w:rsidRPr="00665E65" w:rsidRDefault="00600ECD" w:rsidP="00665E65">
      <w:pPr>
        <w:spacing w:after="0" w:line="480" w:lineRule="auto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br w:type="page"/>
      </w:r>
    </w:p>
    <w:p w14:paraId="51631735" w14:textId="5C467E07" w:rsidR="003D6A85" w:rsidRPr="00665E65" w:rsidRDefault="00600ECD" w:rsidP="00665E6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65E65">
        <w:rPr>
          <w:rFonts w:ascii="Times New Roman" w:hAnsi="Times New Roman" w:cs="Times New Roman"/>
          <w:b/>
          <w:bCs/>
        </w:rPr>
        <w:lastRenderedPageBreak/>
        <w:t>References</w:t>
      </w:r>
    </w:p>
    <w:p w14:paraId="77CC5ABC" w14:textId="5D292F30" w:rsidR="00600ECD" w:rsidRPr="00665E65" w:rsidRDefault="00600ECD" w:rsidP="00665E6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>CNIL’s Official Decision (2019) – The original ruling (in French</w:t>
      </w:r>
      <w:proofErr w:type="gramStart"/>
      <w:r w:rsidRPr="00665E65">
        <w:rPr>
          <w:rFonts w:ascii="Times New Roman" w:hAnsi="Times New Roman" w:cs="Times New Roman"/>
        </w:rPr>
        <w:t>):CNIL</w:t>
      </w:r>
      <w:proofErr w:type="gramEnd"/>
      <w:r w:rsidRPr="00665E65">
        <w:rPr>
          <w:rFonts w:ascii="Times New Roman" w:hAnsi="Times New Roman" w:cs="Times New Roman"/>
        </w:rPr>
        <w:t xml:space="preserve">. (2019). </w:t>
      </w:r>
      <w:proofErr w:type="spellStart"/>
      <w:r w:rsidRPr="00665E65">
        <w:rPr>
          <w:rFonts w:ascii="Times New Roman" w:hAnsi="Times New Roman" w:cs="Times New Roman"/>
        </w:rPr>
        <w:t>Délibération</w:t>
      </w:r>
      <w:proofErr w:type="spellEnd"/>
      <w:r w:rsidRPr="00665E65">
        <w:rPr>
          <w:rFonts w:ascii="Times New Roman" w:hAnsi="Times New Roman" w:cs="Times New Roman"/>
        </w:rPr>
        <w:t xml:space="preserve"> de la formation </w:t>
      </w:r>
      <w:proofErr w:type="spellStart"/>
      <w:r w:rsidRPr="00665E65">
        <w:rPr>
          <w:rFonts w:ascii="Times New Roman" w:hAnsi="Times New Roman" w:cs="Times New Roman"/>
        </w:rPr>
        <w:t>restreinte</w:t>
      </w:r>
      <w:proofErr w:type="spellEnd"/>
      <w:r w:rsidRPr="00665E65">
        <w:rPr>
          <w:rFonts w:ascii="Times New Roman" w:hAnsi="Times New Roman" w:cs="Times New Roman"/>
        </w:rPr>
        <w:t xml:space="preserve"> n° SAN - 2019-001 du 21 </w:t>
      </w:r>
      <w:proofErr w:type="spellStart"/>
      <w:r w:rsidRPr="00665E65">
        <w:rPr>
          <w:rFonts w:ascii="Times New Roman" w:hAnsi="Times New Roman" w:cs="Times New Roman"/>
        </w:rPr>
        <w:t>janvier</w:t>
      </w:r>
      <w:proofErr w:type="spellEnd"/>
      <w:r w:rsidRPr="00665E65">
        <w:rPr>
          <w:rFonts w:ascii="Times New Roman" w:hAnsi="Times New Roman" w:cs="Times New Roman"/>
        </w:rPr>
        <w:t xml:space="preserve"> 2019 </w:t>
      </w:r>
      <w:proofErr w:type="spellStart"/>
      <w:r w:rsidRPr="00665E65">
        <w:rPr>
          <w:rFonts w:ascii="Times New Roman" w:hAnsi="Times New Roman" w:cs="Times New Roman"/>
        </w:rPr>
        <w:t>prononcée</w:t>
      </w:r>
      <w:proofErr w:type="spellEnd"/>
      <w:r w:rsidRPr="00665E65">
        <w:rPr>
          <w:rFonts w:ascii="Times New Roman" w:hAnsi="Times New Roman" w:cs="Times New Roman"/>
        </w:rPr>
        <w:t xml:space="preserve"> à </w:t>
      </w:r>
      <w:proofErr w:type="spellStart"/>
      <w:r w:rsidRPr="00665E65">
        <w:rPr>
          <w:rFonts w:ascii="Times New Roman" w:hAnsi="Times New Roman" w:cs="Times New Roman"/>
        </w:rPr>
        <w:t>l’encontre</w:t>
      </w:r>
      <w:proofErr w:type="spellEnd"/>
      <w:r w:rsidRPr="00665E65">
        <w:rPr>
          <w:rFonts w:ascii="Times New Roman" w:hAnsi="Times New Roman" w:cs="Times New Roman"/>
        </w:rPr>
        <w:t xml:space="preserve"> de la société Google LLC.</w:t>
      </w:r>
    </w:p>
    <w:p w14:paraId="22F03C2A" w14:textId="79D04F63" w:rsidR="00DD7A7A" w:rsidRPr="00665E65" w:rsidRDefault="00DD7A7A" w:rsidP="00665E6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665E65">
        <w:rPr>
          <w:rFonts w:ascii="Times New Roman" w:hAnsi="Times New Roman" w:cs="Times New Roman"/>
        </w:rPr>
        <w:t>Centraleyes</w:t>
      </w:r>
      <w:proofErr w:type="spellEnd"/>
      <w:r w:rsidRPr="00665E65">
        <w:rPr>
          <w:rFonts w:ascii="Times New Roman" w:hAnsi="Times New Roman" w:cs="Times New Roman"/>
        </w:rPr>
        <w:t xml:space="preserve">. (2025). What is GDPR Compliance Risk Assessment? Key Components. Retrieved from </w:t>
      </w:r>
      <w:hyperlink r:id="rId6" w:history="1">
        <w:r w:rsidR="00114FB4" w:rsidRPr="00665E65">
          <w:rPr>
            <w:rStyle w:val="Hyperlink"/>
            <w:rFonts w:ascii="Times New Roman" w:hAnsi="Times New Roman" w:cs="Times New Roman"/>
          </w:rPr>
          <w:t>https://www.centraleyes.com/glossary/gdpr-compliance-risk-assessment/</w:t>
        </w:r>
      </w:hyperlink>
    </w:p>
    <w:p w14:paraId="478CA882" w14:textId="30F1B8B6" w:rsidR="00984D24" w:rsidRPr="00665E65" w:rsidRDefault="00984D24" w:rsidP="00665E6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665E65">
        <w:rPr>
          <w:rFonts w:ascii="Times New Roman" w:hAnsi="Times New Roman" w:cs="Times New Roman"/>
        </w:rPr>
        <w:t>Compagnucci</w:t>
      </w:r>
      <w:proofErr w:type="spellEnd"/>
      <w:r w:rsidRPr="00665E65">
        <w:rPr>
          <w:rFonts w:ascii="Times New Roman" w:hAnsi="Times New Roman" w:cs="Times New Roman"/>
        </w:rPr>
        <w:t xml:space="preserve">, M. C. (2024). The EU-US Data Privacy Framework: Is the Dragon Eating </w:t>
      </w:r>
      <w:r w:rsidR="00950C11" w:rsidRPr="00665E65">
        <w:rPr>
          <w:rFonts w:ascii="Times New Roman" w:hAnsi="Times New Roman" w:cs="Times New Roman"/>
        </w:rPr>
        <w:t>Its</w:t>
      </w:r>
      <w:r w:rsidRPr="00665E65">
        <w:rPr>
          <w:rFonts w:ascii="Times New Roman" w:hAnsi="Times New Roman" w:cs="Times New Roman"/>
        </w:rPr>
        <w:t xml:space="preserve"> </w:t>
      </w:r>
      <w:proofErr w:type="gramStart"/>
      <w:r w:rsidRPr="00665E65">
        <w:rPr>
          <w:rFonts w:ascii="Times New Roman" w:hAnsi="Times New Roman" w:cs="Times New Roman"/>
        </w:rPr>
        <w:t>Tail?.</w:t>
      </w:r>
      <w:proofErr w:type="gramEnd"/>
      <w:r w:rsidRPr="00665E65">
        <w:rPr>
          <w:rFonts w:ascii="Times New Roman" w:hAnsi="Times New Roman" w:cs="Times New Roman"/>
        </w:rPr>
        <w:t xml:space="preserve"> International Transfers of Health Data: A Global Perspective, 17.</w:t>
      </w:r>
    </w:p>
    <w:p w14:paraId="7EE58A41" w14:textId="0D103051" w:rsidR="00122095" w:rsidRPr="00665E65" w:rsidRDefault="00122095" w:rsidP="00665E6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 xml:space="preserve">Hasani, T., </w:t>
      </w:r>
      <w:proofErr w:type="spellStart"/>
      <w:r w:rsidRPr="00665E65">
        <w:rPr>
          <w:rFonts w:ascii="Times New Roman" w:hAnsi="Times New Roman" w:cs="Times New Roman"/>
        </w:rPr>
        <w:t>Rezania</w:t>
      </w:r>
      <w:proofErr w:type="spellEnd"/>
      <w:r w:rsidRPr="00665E65">
        <w:rPr>
          <w:rFonts w:ascii="Times New Roman" w:hAnsi="Times New Roman" w:cs="Times New Roman"/>
        </w:rPr>
        <w:t xml:space="preserve">, D., </w:t>
      </w:r>
      <w:proofErr w:type="spellStart"/>
      <w:r w:rsidRPr="00665E65">
        <w:rPr>
          <w:rFonts w:ascii="Times New Roman" w:hAnsi="Times New Roman" w:cs="Times New Roman"/>
        </w:rPr>
        <w:t>Levallet</w:t>
      </w:r>
      <w:proofErr w:type="spellEnd"/>
      <w:r w:rsidRPr="00665E65">
        <w:rPr>
          <w:rFonts w:ascii="Times New Roman" w:hAnsi="Times New Roman" w:cs="Times New Roman"/>
        </w:rPr>
        <w:t xml:space="preserve">, N., O’Reilly, N., &amp; Mohammadi, M. (2023). </w:t>
      </w:r>
      <w:r w:rsidR="00950C11" w:rsidRPr="00665E65">
        <w:rPr>
          <w:rFonts w:ascii="Times New Roman" w:hAnsi="Times New Roman" w:cs="Times New Roman"/>
        </w:rPr>
        <w:t>Privacy-enhancing</w:t>
      </w:r>
      <w:r w:rsidRPr="00665E65">
        <w:rPr>
          <w:rFonts w:ascii="Times New Roman" w:hAnsi="Times New Roman" w:cs="Times New Roman"/>
        </w:rPr>
        <w:t xml:space="preserve"> technology adoption and its impact on SMEs’ performance. International Journal of Engineering Business Management, 15, 18479790231172874.</w:t>
      </w:r>
    </w:p>
    <w:p w14:paraId="0B6FA3B3" w14:textId="2B0D1BD6" w:rsidR="0049123C" w:rsidRPr="00665E65" w:rsidRDefault="0049123C" w:rsidP="00665E6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 xml:space="preserve">Klinger, E., </w:t>
      </w:r>
      <w:proofErr w:type="spellStart"/>
      <w:r w:rsidRPr="00665E65">
        <w:rPr>
          <w:rFonts w:ascii="Times New Roman" w:hAnsi="Times New Roman" w:cs="Times New Roman"/>
        </w:rPr>
        <w:t>Wiesmaier</w:t>
      </w:r>
      <w:proofErr w:type="spellEnd"/>
      <w:r w:rsidRPr="00665E65">
        <w:rPr>
          <w:rFonts w:ascii="Times New Roman" w:hAnsi="Times New Roman" w:cs="Times New Roman"/>
        </w:rPr>
        <w:t xml:space="preserve">, A., &amp; Heinemann, A. (2023). A Review of </w:t>
      </w:r>
      <w:r w:rsidR="00950C11" w:rsidRPr="00665E65">
        <w:rPr>
          <w:rFonts w:ascii="Times New Roman" w:hAnsi="Times New Roman" w:cs="Times New Roman"/>
        </w:rPr>
        <w:t>Existing</w:t>
      </w:r>
      <w:r w:rsidRPr="00665E65">
        <w:rPr>
          <w:rFonts w:ascii="Times New Roman" w:hAnsi="Times New Roman" w:cs="Times New Roman"/>
        </w:rPr>
        <w:t xml:space="preserve"> GDPR Solutions for Citizens and SMEs. </w:t>
      </w:r>
      <w:proofErr w:type="spellStart"/>
      <w:r w:rsidRPr="00665E65">
        <w:rPr>
          <w:rFonts w:ascii="Times New Roman" w:hAnsi="Times New Roman" w:cs="Times New Roman"/>
        </w:rPr>
        <w:t>arXiv</w:t>
      </w:r>
      <w:proofErr w:type="spellEnd"/>
      <w:r w:rsidRPr="00665E65">
        <w:rPr>
          <w:rFonts w:ascii="Times New Roman" w:hAnsi="Times New Roman" w:cs="Times New Roman"/>
        </w:rPr>
        <w:t xml:space="preserve"> preprint arXiv:2302.03581.</w:t>
      </w:r>
    </w:p>
    <w:p w14:paraId="7676D493" w14:textId="0FA81099" w:rsidR="00204571" w:rsidRPr="00665E65" w:rsidRDefault="00204571" w:rsidP="00665E6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665E65">
        <w:rPr>
          <w:rFonts w:ascii="Times New Roman" w:hAnsi="Times New Roman" w:cs="Times New Roman"/>
        </w:rPr>
        <w:t>Mesarčík</w:t>
      </w:r>
      <w:proofErr w:type="spellEnd"/>
      <w:r w:rsidRPr="00665E65">
        <w:rPr>
          <w:rFonts w:ascii="Times New Roman" w:hAnsi="Times New Roman" w:cs="Times New Roman"/>
        </w:rPr>
        <w:t>, M. (2020). Apply or not to apply? A Comparative View on Territorial Application of CCPA and GDPR. Bratislava Law Review, 4(2), 81-94.</w:t>
      </w:r>
    </w:p>
    <w:p w14:paraId="4CE3B55D" w14:textId="3F65AF2B" w:rsidR="007C00D6" w:rsidRPr="00665E65" w:rsidRDefault="007C00D6" w:rsidP="00665E6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665E65">
        <w:rPr>
          <w:rFonts w:ascii="Times New Roman" w:hAnsi="Times New Roman" w:cs="Times New Roman"/>
        </w:rPr>
        <w:t>Tan, W. (2024). National security as the trump card: assessing China's legal regime on cross-border data transfer. Information &amp; Communications Technology Law, 33(3), 368-383.</w:t>
      </w:r>
    </w:p>
    <w:p w14:paraId="6177D0F8" w14:textId="0954E411" w:rsidR="00114FB4" w:rsidRPr="00665E65" w:rsidRDefault="00114FB4" w:rsidP="00665E6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665E65">
        <w:rPr>
          <w:rFonts w:ascii="Times New Roman" w:hAnsi="Times New Roman" w:cs="Times New Roman"/>
        </w:rPr>
        <w:t>Zelianin</w:t>
      </w:r>
      <w:proofErr w:type="spellEnd"/>
      <w:r w:rsidRPr="00665E65">
        <w:rPr>
          <w:rFonts w:ascii="Times New Roman" w:hAnsi="Times New Roman" w:cs="Times New Roman"/>
        </w:rPr>
        <w:t xml:space="preserve">, A. (2022). Personal data as a market commodity in the GDPR Era: A systematic review of social and economic aspects. Acta Informatica </w:t>
      </w:r>
      <w:proofErr w:type="spellStart"/>
      <w:r w:rsidRPr="00665E65">
        <w:rPr>
          <w:rFonts w:ascii="Times New Roman" w:hAnsi="Times New Roman" w:cs="Times New Roman"/>
        </w:rPr>
        <w:t>Pragensia</w:t>
      </w:r>
      <w:proofErr w:type="spellEnd"/>
      <w:r w:rsidRPr="00665E65">
        <w:rPr>
          <w:rFonts w:ascii="Times New Roman" w:hAnsi="Times New Roman" w:cs="Times New Roman"/>
        </w:rPr>
        <w:t xml:space="preserve">, 11(1), 81–97. </w:t>
      </w:r>
      <w:proofErr w:type="gramStart"/>
      <w:r w:rsidRPr="00665E65">
        <w:rPr>
          <w:rFonts w:ascii="Times New Roman" w:hAnsi="Times New Roman" w:cs="Times New Roman"/>
        </w:rPr>
        <w:t>DOI:10.18267/j.aip</w:t>
      </w:r>
      <w:proofErr w:type="gramEnd"/>
      <w:r w:rsidRPr="00665E65">
        <w:rPr>
          <w:rFonts w:ascii="Times New Roman" w:hAnsi="Times New Roman" w:cs="Times New Roman"/>
        </w:rPr>
        <w:t>.168</w:t>
      </w:r>
    </w:p>
    <w:sectPr w:rsidR="00114FB4" w:rsidRPr="00665E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F541" w14:textId="77777777" w:rsidR="00B007C1" w:rsidRDefault="00B007C1" w:rsidP="00665E65">
      <w:pPr>
        <w:spacing w:after="0" w:line="240" w:lineRule="auto"/>
      </w:pPr>
      <w:r>
        <w:separator/>
      </w:r>
    </w:p>
  </w:endnote>
  <w:endnote w:type="continuationSeparator" w:id="0">
    <w:p w14:paraId="478B476E" w14:textId="77777777" w:rsidR="00B007C1" w:rsidRDefault="00B007C1" w:rsidP="0066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056A" w14:textId="77777777" w:rsidR="00B007C1" w:rsidRDefault="00B007C1" w:rsidP="00665E65">
      <w:pPr>
        <w:spacing w:after="0" w:line="240" w:lineRule="auto"/>
      </w:pPr>
      <w:r>
        <w:separator/>
      </w:r>
    </w:p>
  </w:footnote>
  <w:footnote w:type="continuationSeparator" w:id="0">
    <w:p w14:paraId="134BAA85" w14:textId="77777777" w:rsidR="00B007C1" w:rsidRDefault="00B007C1" w:rsidP="0066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420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25D280" w14:textId="28C4E175" w:rsidR="00665E65" w:rsidRDefault="00665E65">
        <w:pPr>
          <w:pStyle w:val="Header"/>
          <w:jc w:val="right"/>
        </w:pPr>
        <w:r w:rsidRPr="00665E65">
          <w:rPr>
            <w:rFonts w:ascii="Times New Roman" w:hAnsi="Times New Roman" w:cs="Times New Roman"/>
          </w:rPr>
          <w:fldChar w:fldCharType="begin"/>
        </w:r>
        <w:r w:rsidRPr="00665E65">
          <w:rPr>
            <w:rFonts w:ascii="Times New Roman" w:hAnsi="Times New Roman" w:cs="Times New Roman"/>
          </w:rPr>
          <w:instrText xml:space="preserve"> PAGE   \* MERGEFORMAT </w:instrText>
        </w:r>
        <w:r w:rsidRPr="00665E65">
          <w:rPr>
            <w:rFonts w:ascii="Times New Roman" w:hAnsi="Times New Roman" w:cs="Times New Roman"/>
          </w:rPr>
          <w:fldChar w:fldCharType="separate"/>
        </w:r>
        <w:r w:rsidRPr="00665E65">
          <w:rPr>
            <w:rFonts w:ascii="Times New Roman" w:hAnsi="Times New Roman" w:cs="Times New Roman"/>
            <w:noProof/>
          </w:rPr>
          <w:t>2</w:t>
        </w:r>
        <w:r w:rsidRPr="00665E6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716FE66" w14:textId="77777777" w:rsidR="00665E65" w:rsidRDefault="00665E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89"/>
    <w:rsid w:val="00047A1C"/>
    <w:rsid w:val="00114FB4"/>
    <w:rsid w:val="00117AFD"/>
    <w:rsid w:val="00122095"/>
    <w:rsid w:val="001D2181"/>
    <w:rsid w:val="00204571"/>
    <w:rsid w:val="002B7D31"/>
    <w:rsid w:val="002F1F5E"/>
    <w:rsid w:val="003D6A85"/>
    <w:rsid w:val="00421CAC"/>
    <w:rsid w:val="00427837"/>
    <w:rsid w:val="004906F9"/>
    <w:rsid w:val="0049123C"/>
    <w:rsid w:val="005A3F6D"/>
    <w:rsid w:val="00600ECD"/>
    <w:rsid w:val="00603A0A"/>
    <w:rsid w:val="00634E0B"/>
    <w:rsid w:val="00635789"/>
    <w:rsid w:val="00655175"/>
    <w:rsid w:val="00665E65"/>
    <w:rsid w:val="006C4807"/>
    <w:rsid w:val="006C4C8D"/>
    <w:rsid w:val="006E6B06"/>
    <w:rsid w:val="0073005E"/>
    <w:rsid w:val="00740169"/>
    <w:rsid w:val="00750C0F"/>
    <w:rsid w:val="00797D7C"/>
    <w:rsid w:val="00797F3F"/>
    <w:rsid w:val="007C00D6"/>
    <w:rsid w:val="008165D0"/>
    <w:rsid w:val="00823A16"/>
    <w:rsid w:val="00882EE0"/>
    <w:rsid w:val="008E6BDD"/>
    <w:rsid w:val="009110A4"/>
    <w:rsid w:val="00950A95"/>
    <w:rsid w:val="00950C11"/>
    <w:rsid w:val="00984D24"/>
    <w:rsid w:val="0098554E"/>
    <w:rsid w:val="0099797A"/>
    <w:rsid w:val="00A008B9"/>
    <w:rsid w:val="00A405EC"/>
    <w:rsid w:val="00B007C1"/>
    <w:rsid w:val="00B729E6"/>
    <w:rsid w:val="00B9589B"/>
    <w:rsid w:val="00BB5C6A"/>
    <w:rsid w:val="00CD2BE1"/>
    <w:rsid w:val="00D14865"/>
    <w:rsid w:val="00D27F00"/>
    <w:rsid w:val="00DB562C"/>
    <w:rsid w:val="00DD7A7A"/>
    <w:rsid w:val="00F62594"/>
    <w:rsid w:val="00F6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9B5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5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7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7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7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7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7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4F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5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E65"/>
  </w:style>
  <w:style w:type="paragraph" w:styleId="Footer">
    <w:name w:val="footer"/>
    <w:basedOn w:val="Normal"/>
    <w:link w:val="FooterChar"/>
    <w:uiPriority w:val="99"/>
    <w:unhideWhenUsed/>
    <w:rsid w:val="00665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ntraleyes.com/glossary/gdpr-compliance-risk-assessmen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2025-04-21T02:47:00Z</dcterms:created>
  <dcterms:modified xsi:type="dcterms:W3CDTF">2025-04-21T02:47:00Z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/>
  </property>
</Properties>
</file>