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 1: Active Scanning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• T1: Using both host and dig commands, demonstrate whether the host sdf.org is live 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not. Attach screenshots showing the results. 4 points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3942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• T2: Perform DNS enumeration using dnsenum command for the host sdf.org. Check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whether the zone transfer is possible. Provide necessary screenshots. 4 points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9624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937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T3: Perform both ICMP Sweep and TCP Sweep for the host sdf.org using NMAP. Use the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option --reason to show the details and disable the arp-ping. Attach screenshots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showing the results. 6 points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6543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4511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T4: Perform port scanning to determine all open ports and corresponding running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services for the host sdf.org. Attach screenshots showing the results. 6 points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704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 2: Vulnerability Scanning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T1: Using NSE scripts, determine all known vulnerabilities present in the host sdf.org.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Attach a screenshot showing your command and the results you got. 5 points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9050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T2: Perform a brute force attack on sdf.org. You can choose any script from the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followings: ftp-brute, snmp-brute, http-brute, and oracle-brute. Attach screenshots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showing your command and the results you received. 5 points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2197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