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1606F" w14:textId="77777777" w:rsidR="001D7EE8" w:rsidRDefault="00000000">
      <w:pPr>
        <w:spacing w:after="6802" w:line="259" w:lineRule="auto"/>
        <w:ind w:left="-1079" w:right="-633" w:firstLine="0"/>
      </w:pPr>
      <w:r>
        <w:rPr>
          <w:rFonts w:ascii="Calibri" w:eastAsia="Calibri" w:hAnsi="Calibri" w:cs="Calibri"/>
          <w:noProof/>
          <w:sz w:val="22"/>
        </w:rPr>
        <mc:AlternateContent>
          <mc:Choice Requires="wpg">
            <w:drawing>
              <wp:inline distT="0" distB="0" distL="0" distR="0" wp14:anchorId="54A633D2" wp14:editId="071EF348">
                <wp:extent cx="7312559" cy="1215161"/>
                <wp:effectExtent l="0" t="0" r="0" b="0"/>
                <wp:docPr id="1391" name="Group 1391"/>
                <wp:cNvGraphicFramePr/>
                <a:graphic xmlns:a="http://schemas.openxmlformats.org/drawingml/2006/main">
                  <a:graphicData uri="http://schemas.microsoft.com/office/word/2010/wordprocessingGroup">
                    <wpg:wgp>
                      <wpg:cNvGrpSpPr/>
                      <wpg:grpSpPr>
                        <a:xfrm>
                          <a:off x="0" y="0"/>
                          <a:ext cx="7312559" cy="1215161"/>
                          <a:chOff x="0" y="0"/>
                          <a:chExt cx="7312559" cy="1215161"/>
                        </a:xfrm>
                      </wpg:grpSpPr>
                      <wps:wsp>
                        <wps:cNvPr id="12" name="Shape 12"/>
                        <wps:cNvSpPr/>
                        <wps:spPr>
                          <a:xfrm>
                            <a:off x="0" y="0"/>
                            <a:ext cx="7312559" cy="1129451"/>
                          </a:xfrm>
                          <a:custGeom>
                            <a:avLst/>
                            <a:gdLst/>
                            <a:ahLst/>
                            <a:cxnLst/>
                            <a:rect l="0" t="0" r="0" b="0"/>
                            <a:pathLst>
                              <a:path w="7312559" h="1129451">
                                <a:moveTo>
                                  <a:pt x="0" y="0"/>
                                </a:moveTo>
                                <a:lnTo>
                                  <a:pt x="7312559" y="0"/>
                                </a:lnTo>
                                <a:lnTo>
                                  <a:pt x="7312559" y="1129451"/>
                                </a:lnTo>
                                <a:lnTo>
                                  <a:pt x="3619449" y="733286"/>
                                </a:lnTo>
                                <a:lnTo>
                                  <a:pt x="0" y="1091358"/>
                                </a:lnTo>
                                <a:lnTo>
                                  <a:pt x="0" y="0"/>
                                </a:lnTo>
                                <a:close/>
                              </a:path>
                            </a:pathLst>
                          </a:custGeom>
                          <a:ln w="0" cap="flat">
                            <a:miter lim="127000"/>
                          </a:ln>
                        </wps:spPr>
                        <wps:style>
                          <a:lnRef idx="0">
                            <a:srgbClr val="000000">
                              <a:alpha val="0"/>
                            </a:srgbClr>
                          </a:lnRef>
                          <a:fillRef idx="1">
                            <a:srgbClr val="156082"/>
                          </a:fillRef>
                          <a:effectRef idx="0">
                            <a:scrgbClr r="0" g="0" b="0"/>
                          </a:effectRef>
                          <a:fontRef idx="none"/>
                        </wps:style>
                        <wps:bodyPr/>
                      </wps:wsp>
                      <pic:pic xmlns:pic="http://schemas.openxmlformats.org/drawingml/2006/picture">
                        <pic:nvPicPr>
                          <pic:cNvPr id="1743" name="Picture 1743"/>
                          <pic:cNvPicPr/>
                        </pic:nvPicPr>
                        <pic:blipFill>
                          <a:blip r:embed="rId4"/>
                          <a:stretch>
                            <a:fillRect/>
                          </a:stretch>
                        </pic:blipFill>
                        <pic:spPr>
                          <a:xfrm>
                            <a:off x="-4000" y="-5790"/>
                            <a:ext cx="7318248" cy="1222248"/>
                          </a:xfrm>
                          <a:prstGeom prst="rect">
                            <a:avLst/>
                          </a:prstGeom>
                        </pic:spPr>
                      </pic:pic>
                    </wpg:wgp>
                  </a:graphicData>
                </a:graphic>
              </wp:inline>
            </w:drawing>
          </mc:Choice>
          <mc:Fallback xmlns:a="http://schemas.openxmlformats.org/drawingml/2006/main">
            <w:pict>
              <v:group id="Group 1391" style="width:575.792pt;height:95.682pt;mso-position-horizontal-relative:char;mso-position-vertical-relative:line" coordsize="73125,12151">
                <v:shape id="Shape 12" style="position:absolute;width:73125;height:11294;left:0;top:0;" coordsize="7312559,1129451" path="m0,0l7312559,0l7312559,1129451l3619449,733286l0,1091358l0,0x">
                  <v:stroke weight="0pt" endcap="flat" joinstyle="miter" miterlimit="10" on="false" color="#000000" opacity="0"/>
                  <v:fill on="true" color="#156082"/>
                </v:shape>
                <v:shape id="Picture 1743" style="position:absolute;width:73182;height:12222;left:-40;top:-57;" filled="f">
                  <v:imagedata r:id="rId5"/>
                </v:shape>
              </v:group>
            </w:pict>
          </mc:Fallback>
        </mc:AlternateContent>
      </w:r>
    </w:p>
    <w:p w14:paraId="4B3D6F7F" w14:textId="01FBAF34" w:rsidR="001D7EE8" w:rsidRDefault="00000000">
      <w:pPr>
        <w:spacing w:after="0" w:line="259" w:lineRule="auto"/>
        <w:ind w:left="2492" w:right="0" w:firstLine="0"/>
      </w:pPr>
      <w:r>
        <w:rPr>
          <w:color w:val="156082"/>
          <w:sz w:val="64"/>
        </w:rPr>
        <w:t>REFLECTION PAPER #</w:t>
      </w:r>
      <w:r w:rsidR="00523C61">
        <w:rPr>
          <w:color w:val="156082"/>
          <w:sz w:val="64"/>
        </w:rPr>
        <w:t>2</w:t>
      </w:r>
    </w:p>
    <w:p w14:paraId="0EEB3E92" w14:textId="0C7C4C04" w:rsidR="001D7EE8" w:rsidRDefault="00523C61">
      <w:pPr>
        <w:spacing w:after="689" w:line="259" w:lineRule="auto"/>
        <w:ind w:right="0" w:firstLine="0"/>
        <w:jc w:val="right"/>
      </w:pPr>
      <w:r w:rsidRPr="00523C61">
        <w:rPr>
          <w:color w:val="404040"/>
          <w:sz w:val="28"/>
          <w:szCs w:val="20"/>
        </w:rPr>
        <w:t>By Seth Santiago</w:t>
      </w:r>
      <w:r w:rsidR="00000000">
        <w:rPr>
          <w:color w:val="404040"/>
          <w:sz w:val="36"/>
        </w:rPr>
        <w:t xml:space="preserve">     </w:t>
      </w:r>
    </w:p>
    <w:p w14:paraId="71CC1BF0" w14:textId="77777777" w:rsidR="001D7EE8" w:rsidRDefault="00000000">
      <w:pPr>
        <w:spacing w:after="0" w:line="259" w:lineRule="auto"/>
        <w:ind w:right="450" w:firstLine="0"/>
        <w:jc w:val="right"/>
      </w:pPr>
      <w:r>
        <w:rPr>
          <w:rFonts w:ascii="Calibri" w:eastAsia="Calibri" w:hAnsi="Calibri" w:cs="Calibri"/>
          <w:color w:val="156082"/>
          <w:sz w:val="28"/>
        </w:rPr>
        <w:t>Old Dominion University</w:t>
      </w:r>
    </w:p>
    <w:p w14:paraId="6C29F3A8" w14:textId="207565B3" w:rsidR="00523C61" w:rsidRPr="00523C61" w:rsidRDefault="00000000" w:rsidP="00523C61">
      <w:pPr>
        <w:spacing w:after="2212" w:line="259" w:lineRule="auto"/>
        <w:ind w:right="450" w:firstLine="0"/>
        <w:jc w:val="right"/>
        <w:rPr>
          <w:rFonts w:ascii="Calibri" w:eastAsia="Calibri" w:hAnsi="Calibri" w:cs="Calibri"/>
          <w:color w:val="595959"/>
          <w:sz w:val="20"/>
        </w:rPr>
      </w:pPr>
      <w:r>
        <w:rPr>
          <w:rFonts w:ascii="Calibri" w:eastAsia="Calibri" w:hAnsi="Calibri" w:cs="Calibri"/>
          <w:color w:val="595959"/>
          <w:sz w:val="20"/>
        </w:rPr>
        <w:t>CYSE368 Cybersecurity Internship</w:t>
      </w:r>
    </w:p>
    <w:p w14:paraId="0557765E" w14:textId="54AA0748" w:rsidR="001D7EE8" w:rsidRDefault="00000000">
      <w:pPr>
        <w:ind w:left="-15"/>
      </w:pPr>
      <w:r>
        <w:lastRenderedPageBreak/>
        <w:t xml:space="preserve">Building upon the foundation of my first fifty hours at Innovation Labs in partnership with Maritime Engineering and Environmental Science Academy (MEESA), the next part of my internship has been an even deeper dive into the intersection between cybersecurity, education, and real-world application. As a cybersecurity senior, I have begun to view this experience not just as an internship requirement, but as a chance to apply technical knowledge, strengthening my leadership abilities, and </w:t>
      </w:r>
      <w:r w:rsidR="00523C61">
        <w:t>understanding</w:t>
      </w:r>
      <w:r>
        <w:t xml:space="preserve"> how cybersecurity concepts can be translated effectively for a nontechnical group. The further I progress, the more I realize that being a cybersecurity professional means being a communicator, educator, and a problem solver all at once. </w:t>
      </w:r>
    </w:p>
    <w:p w14:paraId="0764B8A3" w14:textId="30914832" w:rsidR="001D7EE8" w:rsidRDefault="00000000">
      <w:pPr>
        <w:ind w:left="-15"/>
      </w:pPr>
      <w:r>
        <w:t xml:space="preserve">Since passing the first fifty-hour mark, my responsibilities have evolved from primarily outlining and developing lesson materials to designing and testing cybersecurity simulations. These activities allow high school students to experience actual real-life challenges in a safe and controlled environment. For example, I recently helped create a phishing detection simulation that presents students with different email examples and requires them to identify red flags such as suspicious links, spoofed domains, and urgent language. Implementing this exercise pushed me to use my own technical understanding of social engineering tactics, understanding of phishing indicators, and human factors in security. Translating these concepts for individuals to understand in an appropriate context </w:t>
      </w:r>
      <w:r w:rsidR="00523C61">
        <w:t>requires</w:t>
      </w:r>
      <w:r>
        <w:t xml:space="preserve"> not only technical accuracy but also creativity and awareness. It was a great reminder that cybersecurity awareness begins with understanding user behavior as much as understanding technology. </w:t>
      </w:r>
    </w:p>
    <w:p w14:paraId="3E0BF971" w14:textId="77777777" w:rsidR="001D7EE8" w:rsidRDefault="00000000">
      <w:pPr>
        <w:ind w:left="-15"/>
      </w:pPr>
      <w:r>
        <w:t xml:space="preserve">Another major development has been my increased involvement in coordinating lesson structures with our internship team. Working alongside two other interns, I naturally </w:t>
      </w:r>
      <w:r>
        <w:lastRenderedPageBreak/>
        <w:t>moved into a leadership role by organizing meeting agendas, assigning tasks and workloads, and maintaining version control for our shared documents. This has shown me how critical organizational skills and communication are in a collaborative cybersecurity environment. Just like in a professional setting, a single miscommunication or untracked change can cause confusion or errors that ripple throughout the entire project. Applying principles of documentation and configuration management that I have learned in class has helped our team immensely to maintain consistency and accountability.</w:t>
      </w:r>
    </w:p>
    <w:p w14:paraId="6C6D2EAD" w14:textId="0ED42990" w:rsidR="001D7EE8" w:rsidRDefault="00000000">
      <w:pPr>
        <w:ind w:left="-15"/>
      </w:pPr>
      <w:r>
        <w:t xml:space="preserve">One of </w:t>
      </w:r>
      <w:r w:rsidR="00523C61">
        <w:t>the</w:t>
      </w:r>
      <w:r>
        <w:t xml:space="preserve"> most valuable lessons I have learned during this phase of the internship is how cybersecurity education ties directly into real-world defenses and systems. The activities we design may seem simple on the surface, but at their core concepts represent the same foundational practices used in industry. I have come to appreciate how cybersecurity awareness among younger groups contributes to national and organizational security. Teaching students how to look for digital risks is a form of protective defense. The more </w:t>
      </w:r>
      <w:r w:rsidR="00523C61">
        <w:t>educated</w:t>
      </w:r>
      <w:r>
        <w:t xml:space="preserve"> users are, the harder it is for cybercriminals to exploit human error. This perspective has bolstered my motivation to pursue this career where I can combine my technical knowledge with outreach and cybersecurity advocacy. </w:t>
      </w:r>
    </w:p>
    <w:p w14:paraId="33A49FC1" w14:textId="77777777" w:rsidR="001D7EE8" w:rsidRDefault="00000000">
      <w:pPr>
        <w:ind w:left="-15"/>
      </w:pPr>
      <w:r>
        <w:t xml:space="preserve">The challenges I have faced during this stage have been just as educational as the successes. Time management continues to be an ongoing test for me as I balance a full-time academic schedule, a full-time job, and internship responsibilities that demand consistent organization and prioritization. There were also times when technical limitations in the school’s network forced us to adapt our plans or simplify certain activities. Learning to adjust while keeping the integrity of the lesson has helped me strengthen my flexibility and </w:t>
      </w:r>
      <w:r>
        <w:lastRenderedPageBreak/>
        <w:t>problem-solving abilities. These skills are essential for anyone entering the cybersecurity field, where systems, threats, and priorities can shift rapidly.</w:t>
      </w:r>
    </w:p>
    <w:p w14:paraId="4D918129" w14:textId="77777777" w:rsidR="001D7EE8" w:rsidRDefault="00000000">
      <w:pPr>
        <w:ind w:left="-15"/>
      </w:pPr>
      <w:r>
        <w:t>As I reflect on my continued progress of this internship, I recognize how much it has contributed to my professional identity as a cybersecurity student. I have grown more confident in my abilities to communicate technical concepts clearly and to design engaging, security focused content. My collaborative and leadership skills have also improved, preparing me for the kind of teamwork expected in real-world cybersecurity operations centers or project environments. The internship has also reinforced my understanding that cybersecurity is not only about defending systems but also about creating awareness, responsibility, and resilience within every user.</w:t>
      </w:r>
    </w:p>
    <w:p w14:paraId="6214D7C3" w14:textId="77777777" w:rsidR="001D7EE8" w:rsidRDefault="00000000">
      <w:pPr>
        <w:ind w:left="-15"/>
      </w:pPr>
      <w:r>
        <w:t>In conclusion, the continuation of my internship experience has been transformative in shaping both my technical and intern personal growth. I have learned that cybersecurity professionals must balance analytical thinking with creativity and adaptability. This experience has solidified my passion for the field and confirmed my desire to pursue a career that blends cybersecurity practice with education and community outreach. The skills I have developed will undoubtedly serve as a solid foundation for my future in cybersecurity.</w:t>
      </w:r>
    </w:p>
    <w:sectPr w:rsidR="001D7EE8" w:rsidSect="00523C6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E8"/>
    <w:rsid w:val="001D7EE8"/>
    <w:rsid w:val="00523C61"/>
    <w:rsid w:val="00AD1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756C"/>
  <w15:docId w15:val="{75BC235F-BED7-495B-BC68-01F5EAC6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476" w:lineRule="auto"/>
      <w:ind w:right="420" w:firstLine="7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right="450"/>
      <w:jc w:val="right"/>
      <w:outlineLvl w:val="0"/>
    </w:pPr>
    <w:rPr>
      <w:rFonts w:ascii="Calibri" w:eastAsia="Calibri" w:hAnsi="Calibri" w:cs="Calibri"/>
      <w:color w:val="5959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9595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Paper #1</dc:title>
  <dc:subject/>
  <dc:creator>SETH SANTIAGO</dc:creator>
  <cp:keywords/>
  <cp:lastModifiedBy>Seth Santiago</cp:lastModifiedBy>
  <cp:revision>2</cp:revision>
  <dcterms:created xsi:type="dcterms:W3CDTF">2025-11-21T20:02:00Z</dcterms:created>
  <dcterms:modified xsi:type="dcterms:W3CDTF">2025-11-21T20:02:00Z</dcterms:modified>
</cp:coreProperties>
</file>