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33858" w14:textId="77777777" w:rsidR="00185516" w:rsidRDefault="00185516">
      <w:pPr>
        <w:spacing w:line="480" w:lineRule="auto"/>
      </w:pPr>
    </w:p>
    <w:p w14:paraId="69B54ED9" w14:textId="77777777" w:rsidR="00185516" w:rsidRDefault="00185516">
      <w:pPr>
        <w:spacing w:line="480" w:lineRule="auto"/>
      </w:pPr>
    </w:p>
    <w:p w14:paraId="6B9ED497" w14:textId="77777777" w:rsidR="00185516" w:rsidRDefault="00185516">
      <w:pPr>
        <w:spacing w:line="480" w:lineRule="auto"/>
      </w:pPr>
    </w:p>
    <w:p w14:paraId="474E8510" w14:textId="77777777" w:rsidR="00185516" w:rsidRDefault="00185516">
      <w:pPr>
        <w:spacing w:line="480" w:lineRule="auto"/>
      </w:pPr>
    </w:p>
    <w:p w14:paraId="2A539958" w14:textId="77777777" w:rsidR="00185516" w:rsidRDefault="00000000">
      <w:pPr>
        <w:spacing w:line="480" w:lineRule="auto"/>
        <w:jc w:val="center"/>
      </w:pPr>
      <w:r>
        <w:rPr>
          <w:sz w:val="24"/>
          <w:szCs w:val="24"/>
        </w:rPr>
        <w:t>Bridging Disciplines: A Reflection on Skills, Artifacts, and Career Readiness</w:t>
      </w:r>
    </w:p>
    <w:p w14:paraId="642E9956" w14:textId="77777777" w:rsidR="00185516" w:rsidRDefault="00185516">
      <w:pPr>
        <w:spacing w:line="480" w:lineRule="auto"/>
      </w:pPr>
    </w:p>
    <w:p w14:paraId="6ABD664F" w14:textId="3EF4DE2D" w:rsidR="00185516" w:rsidRDefault="00942D94">
      <w:pPr>
        <w:spacing w:line="480" w:lineRule="auto"/>
        <w:jc w:val="center"/>
      </w:pPr>
      <w:r>
        <w:rPr>
          <w:sz w:val="24"/>
          <w:szCs w:val="24"/>
        </w:rPr>
        <w:t>Victoria Asare</w:t>
      </w:r>
    </w:p>
    <w:p w14:paraId="7F0ADE61" w14:textId="77777777" w:rsidR="00185516" w:rsidRDefault="00185516">
      <w:pPr>
        <w:spacing w:line="480" w:lineRule="auto"/>
      </w:pPr>
    </w:p>
    <w:p w14:paraId="5F022ED7" w14:textId="77777777" w:rsidR="00185516" w:rsidRDefault="00000000">
      <w:pPr>
        <w:spacing w:line="480" w:lineRule="auto"/>
        <w:jc w:val="center"/>
      </w:pPr>
      <w:r>
        <w:rPr>
          <w:sz w:val="24"/>
          <w:szCs w:val="24"/>
        </w:rPr>
        <w:t>Old Dominion University</w:t>
      </w:r>
    </w:p>
    <w:p w14:paraId="71CBD4D4" w14:textId="77777777" w:rsidR="00185516" w:rsidRDefault="00185516">
      <w:pPr>
        <w:spacing w:line="480" w:lineRule="auto"/>
      </w:pPr>
    </w:p>
    <w:p w14:paraId="33B0CA58" w14:textId="5729D33C" w:rsidR="00185516" w:rsidRDefault="00000000">
      <w:pPr>
        <w:spacing w:line="480" w:lineRule="auto"/>
        <w:jc w:val="center"/>
      </w:pPr>
      <w:r>
        <w:rPr>
          <w:sz w:val="24"/>
          <w:szCs w:val="24"/>
        </w:rPr>
        <w:t>IDS 4</w:t>
      </w:r>
      <w:r w:rsidR="00942D94">
        <w:rPr>
          <w:sz w:val="24"/>
          <w:szCs w:val="24"/>
        </w:rPr>
        <w:t>93</w:t>
      </w:r>
    </w:p>
    <w:p w14:paraId="204F593A" w14:textId="77777777" w:rsidR="00185516" w:rsidRDefault="00185516">
      <w:pPr>
        <w:spacing w:line="480" w:lineRule="auto"/>
      </w:pPr>
    </w:p>
    <w:p w14:paraId="1F1ED5F2" w14:textId="523D8B44" w:rsidR="00185516" w:rsidRPr="00942D94" w:rsidRDefault="00942D94">
      <w:pPr>
        <w:spacing w:line="480" w:lineRule="auto"/>
        <w:jc w:val="center"/>
        <w:rPr>
          <w:sz w:val="24"/>
          <w:szCs w:val="24"/>
        </w:rPr>
      </w:pPr>
      <w:r w:rsidRPr="00942D94">
        <w:rPr>
          <w:sz w:val="24"/>
          <w:szCs w:val="24"/>
        </w:rPr>
        <w:t>Dr. Sherron Gordon-Phan</w:t>
      </w:r>
    </w:p>
    <w:p w14:paraId="7D027083" w14:textId="77777777" w:rsidR="00185516" w:rsidRDefault="00185516">
      <w:pPr>
        <w:spacing w:line="480" w:lineRule="auto"/>
      </w:pPr>
    </w:p>
    <w:p w14:paraId="531AF82F" w14:textId="7D707154" w:rsidR="00185516" w:rsidRDefault="00942D94" w:rsidP="00942D94">
      <w:pPr>
        <w:spacing w:line="480" w:lineRule="auto"/>
        <w:jc w:val="center"/>
        <w:sectPr w:rsidR="00185516">
          <w:headerReference w:type="default" r:id="rId7"/>
          <w:pgSz w:w="12240" w:h="15840"/>
          <w:pgMar w:top="1440" w:right="1440" w:bottom="1440" w:left="1440" w:header="708" w:footer="708" w:gutter="0"/>
          <w:pgNumType w:start="1"/>
          <w:cols w:space="720"/>
          <w:docGrid w:linePitch="360"/>
        </w:sectPr>
      </w:pPr>
      <w:r>
        <w:rPr>
          <w:sz w:val="24"/>
          <w:szCs w:val="24"/>
        </w:rPr>
        <w:t>05/04/2026</w:t>
      </w:r>
    </w:p>
    <w:p w14:paraId="4CAFF6D8" w14:textId="77777777" w:rsidR="00185516" w:rsidRDefault="00000000">
      <w:pPr>
        <w:spacing w:line="480" w:lineRule="auto"/>
        <w:jc w:val="center"/>
      </w:pPr>
      <w:r>
        <w:rPr>
          <w:b/>
          <w:bCs/>
          <w:sz w:val="24"/>
          <w:szCs w:val="24"/>
        </w:rPr>
        <w:lastRenderedPageBreak/>
        <w:t>Abstract</w:t>
      </w:r>
    </w:p>
    <w:p w14:paraId="159D9928" w14:textId="77777777" w:rsidR="00185516" w:rsidRDefault="00185516">
      <w:pPr>
        <w:spacing w:line="480" w:lineRule="auto"/>
      </w:pPr>
    </w:p>
    <w:p w14:paraId="5A096175" w14:textId="5BEC9FC6" w:rsidR="00185516" w:rsidRDefault="00000000">
      <w:pPr>
        <w:spacing w:line="480" w:lineRule="auto"/>
        <w:jc w:val="both"/>
      </w:pPr>
      <w:r>
        <w:rPr>
          <w:sz w:val="24"/>
          <w:szCs w:val="24"/>
        </w:rPr>
        <w:t>This reflection essay examines three core competencies developed through the Interdisciplinary Studies (IDS) degree program at Old Dominion University: communication, problem-solving, and leadership. Rather than treating these competencies as discrete academic categories, the essay traces how each emerged from specific, consequential experiences</w:t>
      </w:r>
      <w:r w:rsidR="006A2802">
        <w:rPr>
          <w:sz w:val="24"/>
          <w:szCs w:val="24"/>
        </w:rPr>
        <w:t xml:space="preserve"> </w:t>
      </w:r>
      <w:r>
        <w:rPr>
          <w:sz w:val="24"/>
          <w:szCs w:val="24"/>
        </w:rPr>
        <w:t xml:space="preserve">a case study analysis that demanded mastery of APA scholarly conventions; a workplace compliance audit that illuminated the analytical depth underlying professional practice; and a high-stakes deadline that clarified the nature of effective leadership under pressure. The essay also reflects on the e-portfolio construction process as a pedagogical </w:t>
      </w:r>
      <w:r w:rsidR="003118B5">
        <w:rPr>
          <w:sz w:val="24"/>
          <w:szCs w:val="24"/>
        </w:rPr>
        <w:t>experience, and</w:t>
      </w:r>
      <w:r>
        <w:rPr>
          <w:sz w:val="24"/>
          <w:szCs w:val="24"/>
        </w:rPr>
        <w:t xml:space="preserve"> on how an interdisciplinary education has fundamentally reframed the relationship between a finance career and an aspiring cybersecurity practice. Throughout, relevant course readings and interdisciplinary theory are drawn upon to provide conceptual language for what professional experience has already been teaching. The central argument is that the IDS degree does not mark a departure from prior expertise but rather provides the intellectual framework through which that expertise becomes transferable, articulable, and expandable.</w:t>
      </w:r>
    </w:p>
    <w:p w14:paraId="34EC9BBF" w14:textId="77777777" w:rsidR="00185516" w:rsidRDefault="00185516">
      <w:pPr>
        <w:sectPr w:rsidR="00185516">
          <w:headerReference w:type="default" r:id="rId8"/>
          <w:pgSz w:w="12240" w:h="15840"/>
          <w:pgMar w:top="1440" w:right="1440" w:bottom="1440" w:left="1440" w:header="708" w:footer="708" w:gutter="0"/>
          <w:cols w:space="720"/>
          <w:docGrid w:linePitch="360"/>
        </w:sectPr>
      </w:pPr>
    </w:p>
    <w:p w14:paraId="741FCAD8" w14:textId="77777777" w:rsidR="00185516" w:rsidRDefault="00000000">
      <w:pPr>
        <w:spacing w:line="480" w:lineRule="auto"/>
        <w:jc w:val="center"/>
      </w:pPr>
      <w:r>
        <w:rPr>
          <w:b/>
          <w:bCs/>
          <w:sz w:val="24"/>
          <w:szCs w:val="24"/>
        </w:rPr>
        <w:lastRenderedPageBreak/>
        <w:t>Bridging Disciplines: A Reflection on Skills, Artifacts, and Career Readiness</w:t>
      </w:r>
    </w:p>
    <w:p w14:paraId="02B5C638" w14:textId="77777777" w:rsidR="00185516" w:rsidRDefault="00185516">
      <w:pPr>
        <w:spacing w:line="480" w:lineRule="auto"/>
      </w:pPr>
    </w:p>
    <w:p w14:paraId="12820EAA" w14:textId="77777777" w:rsidR="00185516" w:rsidRDefault="00000000">
      <w:pPr>
        <w:spacing w:line="480" w:lineRule="auto"/>
        <w:jc w:val="center"/>
      </w:pPr>
      <w:r>
        <w:rPr>
          <w:b/>
          <w:bCs/>
          <w:sz w:val="24"/>
          <w:szCs w:val="24"/>
        </w:rPr>
        <w:t>Introduction</w:t>
      </w:r>
    </w:p>
    <w:p w14:paraId="22794BB4" w14:textId="77777777" w:rsidR="00185516" w:rsidRDefault="00185516">
      <w:pPr>
        <w:spacing w:line="480" w:lineRule="auto"/>
      </w:pPr>
    </w:p>
    <w:p w14:paraId="225A0EDC" w14:textId="47B4A8AE" w:rsidR="00185516" w:rsidRDefault="00000000">
      <w:pPr>
        <w:spacing w:line="480" w:lineRule="auto"/>
        <w:ind w:firstLine="720"/>
        <w:jc w:val="both"/>
      </w:pPr>
      <w:r>
        <w:rPr>
          <w:sz w:val="24"/>
          <w:szCs w:val="24"/>
        </w:rPr>
        <w:t>Enrollment in the Interdisciplinary Studies program at Old Dominion University was not motivated by a perception of professional inadequacy. At the time, the daily work of managing budgets, navigating compliance cycles, analyzing financial data, and guiding teams through demanding audit seasons was already well established. Rather, enrollment was motivated by the recognition of a connection that had not yet been fully articulated</w:t>
      </w:r>
      <w:r w:rsidR="006A2802">
        <w:rPr>
          <w:sz w:val="24"/>
          <w:szCs w:val="24"/>
        </w:rPr>
        <w:t xml:space="preserve"> </w:t>
      </w:r>
      <w:r>
        <w:rPr>
          <w:sz w:val="24"/>
          <w:szCs w:val="24"/>
        </w:rPr>
        <w:t xml:space="preserve">a structural parallel between the financial risk work </w:t>
      </w:r>
      <w:r w:rsidR="00BB59DC">
        <w:rPr>
          <w:sz w:val="24"/>
          <w:szCs w:val="24"/>
        </w:rPr>
        <w:t>conducted</w:t>
      </w:r>
      <w:r>
        <w:rPr>
          <w:sz w:val="24"/>
          <w:szCs w:val="24"/>
        </w:rPr>
        <w:t xml:space="preserve"> in practice and the cybersecurity risk field toward which professional aspirations were oriented. The IDS program provided both the vocabulary and the conceptual framework to make that connection explicit, and in doing so, it reframed the career transition not as a departure from existing expertise but as an extension of it.</w:t>
      </w:r>
    </w:p>
    <w:p w14:paraId="73F8D8EC" w14:textId="77777777" w:rsidR="00185516" w:rsidRDefault="00185516">
      <w:pPr>
        <w:spacing w:line="480" w:lineRule="auto"/>
      </w:pPr>
    </w:p>
    <w:p w14:paraId="2CA6CF1F" w14:textId="7C00F161" w:rsidR="00185516" w:rsidRDefault="00000000">
      <w:pPr>
        <w:spacing w:line="480" w:lineRule="auto"/>
        <w:ind w:firstLine="720"/>
        <w:jc w:val="both"/>
      </w:pPr>
      <w:r>
        <w:rPr>
          <w:sz w:val="24"/>
          <w:szCs w:val="24"/>
        </w:rPr>
        <w:t>This essay is organized around three competencies</w:t>
      </w:r>
      <w:r w:rsidR="006A2802">
        <w:rPr>
          <w:sz w:val="24"/>
          <w:szCs w:val="24"/>
        </w:rPr>
        <w:t xml:space="preserve"> </w:t>
      </w:r>
      <w:r>
        <w:rPr>
          <w:sz w:val="24"/>
          <w:szCs w:val="24"/>
        </w:rPr>
        <w:t xml:space="preserve">communication, problem-solving, and </w:t>
      </w:r>
      <w:proofErr w:type="gramStart"/>
      <w:r>
        <w:rPr>
          <w:sz w:val="24"/>
          <w:szCs w:val="24"/>
        </w:rPr>
        <w:t>leadership</w:t>
      </w:r>
      <w:proofErr w:type="gramEnd"/>
      <w:r w:rsidR="006A2802">
        <w:rPr>
          <w:sz w:val="24"/>
          <w:szCs w:val="24"/>
        </w:rPr>
        <w:t xml:space="preserve"> </w:t>
      </w:r>
      <w:r>
        <w:rPr>
          <w:sz w:val="24"/>
          <w:szCs w:val="24"/>
        </w:rPr>
        <w:t>each illustrated through specific artifacts and grounded in concrete experiences drawn from coursework and professional life. It is also, more broadly, a reflection on what it means to think across disciplines, because that capacity</w:t>
      </w:r>
      <w:r w:rsidR="003118B5">
        <w:rPr>
          <w:sz w:val="24"/>
          <w:szCs w:val="24"/>
        </w:rPr>
        <w:t xml:space="preserve"> is more</w:t>
      </w:r>
      <w:r>
        <w:rPr>
          <w:sz w:val="24"/>
          <w:szCs w:val="24"/>
        </w:rPr>
        <w:t xml:space="preserve"> than any single assignment or credential</w:t>
      </w:r>
      <w:r w:rsidR="006A2802">
        <w:rPr>
          <w:sz w:val="24"/>
          <w:szCs w:val="24"/>
        </w:rPr>
        <w:t xml:space="preserve"> </w:t>
      </w:r>
      <w:r>
        <w:rPr>
          <w:sz w:val="24"/>
          <w:szCs w:val="24"/>
        </w:rPr>
        <w:t xml:space="preserve">represents the most durable outcome of this program. As Repko and Szostak (2017) argue, interdisciplinary thinking is not merely the act of combining subjects; it is the cultivation of a fluid, purposeful movement between disciplinary frameworks, drawing on each as the problem demands. That description was encountered early in the program as a theoretical proposition. It is understood now as an accurate account of how expertise </w:t>
      </w:r>
      <w:r w:rsidR="003118B5">
        <w:rPr>
          <w:sz w:val="24"/>
          <w:szCs w:val="24"/>
        </w:rPr>
        <w:t>develops</w:t>
      </w:r>
      <w:r>
        <w:rPr>
          <w:sz w:val="24"/>
          <w:szCs w:val="24"/>
        </w:rPr>
        <w:t>.</w:t>
      </w:r>
    </w:p>
    <w:p w14:paraId="166495A1" w14:textId="77777777" w:rsidR="00185516" w:rsidRDefault="00185516">
      <w:pPr>
        <w:spacing w:line="480" w:lineRule="auto"/>
      </w:pPr>
    </w:p>
    <w:p w14:paraId="2BCD1243" w14:textId="77777777" w:rsidR="00185516" w:rsidRDefault="00000000">
      <w:pPr>
        <w:spacing w:line="480" w:lineRule="auto"/>
        <w:jc w:val="center"/>
      </w:pPr>
      <w:r>
        <w:rPr>
          <w:b/>
          <w:bCs/>
          <w:sz w:val="24"/>
          <w:szCs w:val="24"/>
        </w:rPr>
        <w:lastRenderedPageBreak/>
        <w:t>Communication: Writing with Precision and Purpose</w:t>
      </w:r>
    </w:p>
    <w:p w14:paraId="754266D5" w14:textId="77777777" w:rsidR="00185516" w:rsidRDefault="00185516">
      <w:pPr>
        <w:spacing w:line="480" w:lineRule="auto"/>
      </w:pPr>
    </w:p>
    <w:p w14:paraId="0F6FF90F" w14:textId="6738C924" w:rsidR="00185516" w:rsidRDefault="00000000">
      <w:pPr>
        <w:spacing w:line="480" w:lineRule="auto"/>
        <w:ind w:firstLine="720"/>
        <w:jc w:val="both"/>
      </w:pPr>
      <w:r>
        <w:rPr>
          <w:sz w:val="24"/>
          <w:szCs w:val="24"/>
        </w:rPr>
        <w:t>It would be reasonable to assume that years of professional writing</w:t>
      </w:r>
      <w:r w:rsidR="006A2802">
        <w:rPr>
          <w:sz w:val="24"/>
          <w:szCs w:val="24"/>
        </w:rPr>
        <w:t xml:space="preserve"> </w:t>
      </w:r>
      <w:r>
        <w:rPr>
          <w:sz w:val="24"/>
          <w:szCs w:val="24"/>
        </w:rPr>
        <w:t xml:space="preserve">executive summaries, compliance </w:t>
      </w:r>
      <w:r w:rsidR="00BB59DC">
        <w:rPr>
          <w:sz w:val="24"/>
          <w:szCs w:val="24"/>
        </w:rPr>
        <w:t>memorandums</w:t>
      </w:r>
      <w:r>
        <w:rPr>
          <w:sz w:val="24"/>
          <w:szCs w:val="24"/>
        </w:rPr>
        <w:t>, budget narratives</w:t>
      </w:r>
      <w:r w:rsidR="003118B5">
        <w:rPr>
          <w:sz w:val="24"/>
          <w:szCs w:val="24"/>
        </w:rPr>
        <w:t xml:space="preserve"> </w:t>
      </w:r>
      <w:r>
        <w:rPr>
          <w:sz w:val="24"/>
          <w:szCs w:val="24"/>
        </w:rPr>
        <w:t>would constitute adequate preparation for the writing demands of graduate coursework. That assumption proved incorrect, and the correction was instructive. The first case study submitted in this program received feedback that exposed a genuine gap: not in the capacity to argue clearly, but in the standards of academic citation and intellectual attribution that APA format is designed to enforce. The experience was humbling precisely because confidence in the skill had not been earned at the level the assignment required.</w:t>
      </w:r>
    </w:p>
    <w:p w14:paraId="55B27BB4" w14:textId="77777777" w:rsidR="00185516" w:rsidRDefault="00185516">
      <w:pPr>
        <w:spacing w:line="480" w:lineRule="auto"/>
      </w:pPr>
    </w:p>
    <w:p w14:paraId="3B409EA1" w14:textId="19634D7B" w:rsidR="00185516" w:rsidRDefault="00000000">
      <w:pPr>
        <w:spacing w:line="480" w:lineRule="auto"/>
        <w:ind w:firstLine="720"/>
        <w:jc w:val="both"/>
      </w:pPr>
      <w:r>
        <w:rPr>
          <w:sz w:val="24"/>
          <w:szCs w:val="24"/>
        </w:rPr>
        <w:t>The value of that experience lay not in the grade but in what the remediation process revealed. Returning to the APA manual, consulting tutorial resources, and reconstructing the reference list entry by entry required a kind of deliberate attention that professional writing rarely demands. In organizational contexts, writing is optimized for clarity and speed. Academic writing, by contrast, demands a different kind of precision</w:t>
      </w:r>
      <w:r w:rsidR="006A2802">
        <w:rPr>
          <w:sz w:val="24"/>
          <w:szCs w:val="24"/>
        </w:rPr>
        <w:t xml:space="preserve"> </w:t>
      </w:r>
      <w:r>
        <w:rPr>
          <w:sz w:val="24"/>
          <w:szCs w:val="24"/>
        </w:rPr>
        <w:t>one in which citation is not a formality but an epistemological act, a formal acknowledgment of the boundary between one’s own reasoning and the prior work upon which it depends. Once that distinction was genuinely understood, it changed the approach to all subsequent writing.</w:t>
      </w:r>
    </w:p>
    <w:p w14:paraId="39125217" w14:textId="77777777" w:rsidR="00185516" w:rsidRDefault="00185516">
      <w:pPr>
        <w:spacing w:line="480" w:lineRule="auto"/>
      </w:pPr>
    </w:p>
    <w:p w14:paraId="0EE420C3" w14:textId="462AA679" w:rsidR="00185516" w:rsidRDefault="00000000">
      <w:pPr>
        <w:spacing w:line="480" w:lineRule="auto"/>
        <w:ind w:firstLine="720"/>
        <w:jc w:val="both"/>
      </w:pPr>
      <w:r>
        <w:rPr>
          <w:sz w:val="24"/>
          <w:szCs w:val="24"/>
        </w:rPr>
        <w:t>The case study itself required analysis of an organizational scenario through multiple interpretive lenses</w:t>
      </w:r>
      <w:r w:rsidR="003118B5">
        <w:rPr>
          <w:sz w:val="24"/>
          <w:szCs w:val="24"/>
        </w:rPr>
        <w:t xml:space="preserve"> </w:t>
      </w:r>
      <w:r>
        <w:rPr>
          <w:sz w:val="24"/>
          <w:szCs w:val="24"/>
        </w:rPr>
        <w:t>financial, ethical, and communicative</w:t>
      </w:r>
      <w:r w:rsidR="006A2802">
        <w:rPr>
          <w:sz w:val="24"/>
          <w:szCs w:val="24"/>
        </w:rPr>
        <w:t xml:space="preserve"> </w:t>
      </w:r>
      <w:r>
        <w:rPr>
          <w:sz w:val="24"/>
          <w:szCs w:val="24"/>
        </w:rPr>
        <w:t xml:space="preserve">and presentation of findings in a form accessible to a reader without institutional context. This is, on reflection, precisely the communicative challenge that cybersecurity analysts face when preparing risk assessment reports for boards of directors. Bada and Sasse (2014) argue that organizational security failures frequently </w:t>
      </w:r>
      <w:r>
        <w:rPr>
          <w:sz w:val="24"/>
          <w:szCs w:val="24"/>
        </w:rPr>
        <w:lastRenderedPageBreak/>
        <w:t xml:space="preserve">result not from inadequate technical defenses but from failures of communication—from the inability to translate complex technical risk into terms that move decision-makers to act. That observation transformed the case study from a routine academic exercise into practice for </w:t>
      </w:r>
      <w:r w:rsidR="003118B5">
        <w:rPr>
          <w:sz w:val="24"/>
          <w:szCs w:val="24"/>
        </w:rPr>
        <w:t>consequential</w:t>
      </w:r>
      <w:r>
        <w:rPr>
          <w:sz w:val="24"/>
          <w:szCs w:val="24"/>
        </w:rPr>
        <w:t xml:space="preserve"> professional skill. The discipline required to write clearly across audiences is, in that sense, directly continuous with the work of cybersecurity risk communication.</w:t>
      </w:r>
    </w:p>
    <w:p w14:paraId="60C99B99" w14:textId="77777777" w:rsidR="00185516" w:rsidRDefault="00185516">
      <w:pPr>
        <w:spacing w:line="480" w:lineRule="auto"/>
      </w:pPr>
    </w:p>
    <w:p w14:paraId="316336B7" w14:textId="269C4190" w:rsidR="00185516" w:rsidRDefault="00000000">
      <w:pPr>
        <w:spacing w:line="480" w:lineRule="auto"/>
        <w:ind w:firstLine="720"/>
        <w:jc w:val="both"/>
      </w:pPr>
      <w:r>
        <w:rPr>
          <w:sz w:val="24"/>
          <w:szCs w:val="24"/>
        </w:rPr>
        <w:t xml:space="preserve">Additional artifacts selected for this </w:t>
      </w:r>
      <w:proofErr w:type="gramStart"/>
      <w:r>
        <w:rPr>
          <w:sz w:val="24"/>
          <w:szCs w:val="24"/>
        </w:rPr>
        <w:t>competency</w:t>
      </w:r>
      <w:proofErr w:type="gramEnd"/>
      <w:r w:rsidR="006A2802">
        <w:rPr>
          <w:sz w:val="24"/>
          <w:szCs w:val="24"/>
        </w:rPr>
        <w:t xml:space="preserve"> </w:t>
      </w:r>
      <w:r>
        <w:rPr>
          <w:sz w:val="24"/>
          <w:szCs w:val="24"/>
        </w:rPr>
        <w:t>a cross-departmental compliance briefing prepared at work and a collaborative writing project from coursework</w:t>
      </w:r>
      <w:r w:rsidR="006A2802">
        <w:rPr>
          <w:sz w:val="24"/>
          <w:szCs w:val="24"/>
        </w:rPr>
        <w:t xml:space="preserve"> </w:t>
      </w:r>
      <w:r>
        <w:rPr>
          <w:sz w:val="24"/>
          <w:szCs w:val="24"/>
        </w:rPr>
        <w:t xml:space="preserve">each reinforce the same central lesson: communication is not the expression of what one knows. It is the calibration of information to what a specific audience needs </w:t>
      </w:r>
      <w:r w:rsidR="003118B5">
        <w:rPr>
          <w:sz w:val="24"/>
          <w:szCs w:val="24"/>
        </w:rPr>
        <w:t>to</w:t>
      </w:r>
      <w:r>
        <w:rPr>
          <w:sz w:val="24"/>
          <w:szCs w:val="24"/>
        </w:rPr>
        <w:t xml:space="preserve"> act. The recurring difficulty of that calibration has been, each time, more instructive than any single success.</w:t>
      </w:r>
    </w:p>
    <w:p w14:paraId="4636E72B" w14:textId="77777777" w:rsidR="00185516" w:rsidRDefault="00185516">
      <w:pPr>
        <w:spacing w:line="480" w:lineRule="auto"/>
      </w:pPr>
    </w:p>
    <w:p w14:paraId="434F2A8C" w14:textId="77777777" w:rsidR="00185516" w:rsidRDefault="00000000">
      <w:pPr>
        <w:spacing w:line="480" w:lineRule="auto"/>
        <w:jc w:val="center"/>
      </w:pPr>
      <w:r>
        <w:rPr>
          <w:b/>
          <w:bCs/>
          <w:sz w:val="24"/>
          <w:szCs w:val="24"/>
        </w:rPr>
        <w:t>Problem-Solving: Analytical Discipline Across Contexts</w:t>
      </w:r>
    </w:p>
    <w:p w14:paraId="4F20131A" w14:textId="77777777" w:rsidR="00185516" w:rsidRDefault="00185516">
      <w:pPr>
        <w:spacing w:line="480" w:lineRule="auto"/>
      </w:pPr>
    </w:p>
    <w:p w14:paraId="1C89A8E9" w14:textId="7C42153C" w:rsidR="00185516" w:rsidRDefault="00000000">
      <w:pPr>
        <w:spacing w:line="480" w:lineRule="auto"/>
        <w:ind w:firstLine="720"/>
        <w:jc w:val="both"/>
      </w:pPr>
      <w:r>
        <w:rPr>
          <w:sz w:val="24"/>
          <w:szCs w:val="24"/>
        </w:rPr>
        <w:t>The problem-solving experience that stands out most clearly from professional practice occurred during a compliance audit conducted under tight regulatory deadline pressure. A discrepancy appeared in a set of transaction records that no one could immediately account for. The situation created pressure to identify the most plausible explanation quickly and proceed. That pressure was consciously resisted. A methodical return to source data, cross-referenced against a parallel record set, eventually identified the precise point at which the error had been introduced: a manual entry override that had not been captured by the existing review process. The lesson was not simply technical. It was a lesson about the discipline of patience</w:t>
      </w:r>
      <w:r w:rsidR="003118B5">
        <w:rPr>
          <w:sz w:val="24"/>
          <w:szCs w:val="24"/>
        </w:rPr>
        <w:t xml:space="preserve"> </w:t>
      </w:r>
      <w:r>
        <w:rPr>
          <w:sz w:val="24"/>
          <w:szCs w:val="24"/>
        </w:rPr>
        <w:t>about the professional and intellectual cost of accepting a satisfying explanation before the evidence warrants it.</w:t>
      </w:r>
    </w:p>
    <w:p w14:paraId="6821ABAA" w14:textId="77777777" w:rsidR="00185516" w:rsidRDefault="00185516">
      <w:pPr>
        <w:spacing w:line="480" w:lineRule="auto"/>
      </w:pPr>
    </w:p>
    <w:p w14:paraId="6EC37B5C" w14:textId="3E190E67" w:rsidR="00185516" w:rsidRDefault="00000000">
      <w:pPr>
        <w:spacing w:line="480" w:lineRule="auto"/>
        <w:ind w:firstLine="720"/>
        <w:jc w:val="both"/>
      </w:pPr>
      <w:r>
        <w:rPr>
          <w:sz w:val="24"/>
          <w:szCs w:val="24"/>
        </w:rPr>
        <w:lastRenderedPageBreak/>
        <w:t xml:space="preserve">This experience found its theoretical counterpart </w:t>
      </w:r>
      <w:r w:rsidR="003118B5">
        <w:rPr>
          <w:sz w:val="24"/>
          <w:szCs w:val="24"/>
        </w:rPr>
        <w:t>to</w:t>
      </w:r>
      <w:r>
        <w:rPr>
          <w:sz w:val="24"/>
          <w:szCs w:val="24"/>
        </w:rPr>
        <w:t xml:space="preserve"> the IDS coursework. Repko and Szostak (2017) characterize interdisciplinary problem-solving as the deliberate identification of which disciplinary lens is most appropriate for a given problem, followed by its systematic application. In the audit situation, the productive lens turned out not to be the financial one that felt most familiar, but a process-analysis lens</w:t>
      </w:r>
      <w:r w:rsidR="006A2802">
        <w:rPr>
          <w:sz w:val="24"/>
          <w:szCs w:val="24"/>
        </w:rPr>
        <w:t xml:space="preserve"> </w:t>
      </w:r>
      <w:r>
        <w:rPr>
          <w:sz w:val="24"/>
          <w:szCs w:val="24"/>
        </w:rPr>
        <w:t>one that asked where in the workflow the error could have entered rather than what, precisely, the error was. The interdisciplinary insight was that the most important question is sometimes not the most obvious one, and that disciplinary habit can obscure rather than illuminate.</w:t>
      </w:r>
    </w:p>
    <w:p w14:paraId="5C607A1F" w14:textId="77777777" w:rsidR="00185516" w:rsidRDefault="00185516">
      <w:pPr>
        <w:spacing w:line="480" w:lineRule="auto"/>
      </w:pPr>
    </w:p>
    <w:p w14:paraId="7C39E148" w14:textId="57F372A4" w:rsidR="00185516" w:rsidRDefault="00000000">
      <w:pPr>
        <w:spacing w:line="480" w:lineRule="auto"/>
        <w:ind w:firstLine="720"/>
        <w:jc w:val="both"/>
      </w:pPr>
      <w:r>
        <w:rPr>
          <w:sz w:val="24"/>
          <w:szCs w:val="24"/>
        </w:rPr>
        <w:t xml:space="preserve">A risk framework comparison developed </w:t>
      </w:r>
      <w:r w:rsidR="003118B5">
        <w:rPr>
          <w:sz w:val="24"/>
          <w:szCs w:val="24"/>
        </w:rPr>
        <w:t>while</w:t>
      </w:r>
      <w:r>
        <w:rPr>
          <w:sz w:val="24"/>
          <w:szCs w:val="24"/>
        </w:rPr>
        <w:t xml:space="preserve"> researching the cybersecurity field serves as the primary coursework artifact for this competency. Analyzing the NIST Cybersecurity Framework, ISO 27001, and COBIT simultaneously required holding multiple systems of thought in productive tension, identifying their areas of convergence, and determining the conditions under which each would be most appropriate. The impulse to declare one framework superior and conclude the analysis was persistent and had to be repeatedly set aside. The evidence consistently demonstrated that the appropriate framework depends on organizational size, industry sector, regulatory environment, and existing control architecture</w:t>
      </w:r>
      <w:r w:rsidR="006A2802">
        <w:rPr>
          <w:sz w:val="24"/>
          <w:szCs w:val="24"/>
        </w:rPr>
        <w:t xml:space="preserve"> </w:t>
      </w:r>
      <w:r>
        <w:rPr>
          <w:sz w:val="24"/>
          <w:szCs w:val="24"/>
        </w:rPr>
        <w:t>that is, on context. Kyvik (2014) identifies comfort with context-dependence as a defining characteristic of interdisciplinary graduates, and the experience of developing it confirms that it is neither intuitive nor comfortable at first.</w:t>
      </w:r>
    </w:p>
    <w:p w14:paraId="5384882F" w14:textId="77777777" w:rsidR="00185516" w:rsidRDefault="00185516">
      <w:pPr>
        <w:spacing w:line="480" w:lineRule="auto"/>
      </w:pPr>
    </w:p>
    <w:p w14:paraId="1E6944D3" w14:textId="242C10D1" w:rsidR="00185516" w:rsidRDefault="00000000">
      <w:pPr>
        <w:spacing w:line="480" w:lineRule="auto"/>
        <w:ind w:firstLine="720"/>
        <w:jc w:val="both"/>
      </w:pPr>
      <w:r>
        <w:rPr>
          <w:sz w:val="24"/>
          <w:szCs w:val="24"/>
        </w:rPr>
        <w:t xml:space="preserve">The connection between financial audit work and cybersecurity risk analysis is now apparent in a way it was not at the outset of this program. Both fields are organized around the same fundamental question: where does exposure exist, and what are the potential consequences </w:t>
      </w:r>
      <w:r>
        <w:rPr>
          <w:sz w:val="24"/>
          <w:szCs w:val="24"/>
        </w:rPr>
        <w:lastRenderedPageBreak/>
        <w:t xml:space="preserve">if that exposure is realized? The methods differ, the technical vocabulary differs, but the analytical posture is identical. That recognition has made the prospective career transition feel less like a beginning and more like </w:t>
      </w:r>
      <w:r w:rsidR="003118B5">
        <w:rPr>
          <w:sz w:val="24"/>
          <w:szCs w:val="24"/>
        </w:rPr>
        <w:t>continuation</w:t>
      </w:r>
      <w:r>
        <w:rPr>
          <w:sz w:val="24"/>
          <w:szCs w:val="24"/>
        </w:rPr>
        <w:t>.</w:t>
      </w:r>
    </w:p>
    <w:p w14:paraId="47820CA6" w14:textId="77777777" w:rsidR="00185516" w:rsidRDefault="00185516">
      <w:pPr>
        <w:spacing w:line="480" w:lineRule="auto"/>
      </w:pPr>
    </w:p>
    <w:p w14:paraId="632C0668" w14:textId="77777777" w:rsidR="00185516" w:rsidRDefault="00000000">
      <w:pPr>
        <w:spacing w:line="480" w:lineRule="auto"/>
        <w:jc w:val="center"/>
      </w:pPr>
      <w:r>
        <w:rPr>
          <w:b/>
          <w:bCs/>
          <w:sz w:val="24"/>
          <w:szCs w:val="24"/>
        </w:rPr>
        <w:t>Leadership: Authority, Trust, and the Weight of Uncertainty</w:t>
      </w:r>
    </w:p>
    <w:p w14:paraId="2AFEB646" w14:textId="77777777" w:rsidR="00185516" w:rsidRDefault="00185516">
      <w:pPr>
        <w:spacing w:line="480" w:lineRule="auto"/>
      </w:pPr>
    </w:p>
    <w:p w14:paraId="08A363E4" w14:textId="5BCF5899" w:rsidR="00185516" w:rsidRDefault="00000000">
      <w:pPr>
        <w:spacing w:line="480" w:lineRule="auto"/>
        <w:ind w:firstLine="720"/>
        <w:jc w:val="both"/>
      </w:pPr>
      <w:r>
        <w:rPr>
          <w:sz w:val="24"/>
          <w:szCs w:val="24"/>
        </w:rPr>
        <w:t xml:space="preserve">Leadership was, for a long time, understood primarily as a function of knowledge. To lead was to know what should be done and to direct others toward it. The audit deadline referenced above provided </w:t>
      </w:r>
      <w:r w:rsidR="00BB59DC">
        <w:rPr>
          <w:sz w:val="24"/>
          <w:szCs w:val="24"/>
        </w:rPr>
        <w:t>more</w:t>
      </w:r>
      <w:r>
        <w:rPr>
          <w:sz w:val="24"/>
          <w:szCs w:val="24"/>
        </w:rPr>
        <w:t xml:space="preserve"> demanding and more accurate education. While tracking the source of the transaction discrepancy, it was simultaneously necessary to manage three team members under visible stress, respond to a supervisor requesting status updates at thirty-minute intervals, and maintain composure in a way that would not amplify the anxiety already present in the room.</w:t>
      </w:r>
    </w:p>
    <w:p w14:paraId="7F3BC7BD" w14:textId="77777777" w:rsidR="00185516" w:rsidRDefault="00185516">
      <w:pPr>
        <w:spacing w:line="480" w:lineRule="auto"/>
      </w:pPr>
    </w:p>
    <w:p w14:paraId="336A9A6B" w14:textId="6087AF22" w:rsidR="00185516" w:rsidRDefault="00000000">
      <w:pPr>
        <w:spacing w:line="480" w:lineRule="auto"/>
        <w:ind w:firstLine="720"/>
        <w:jc w:val="both"/>
      </w:pPr>
      <w:r>
        <w:rPr>
          <w:sz w:val="24"/>
          <w:szCs w:val="24"/>
        </w:rPr>
        <w:t xml:space="preserve">A specific </w:t>
      </w:r>
      <w:r w:rsidR="003118B5">
        <w:rPr>
          <w:sz w:val="24"/>
          <w:szCs w:val="24"/>
        </w:rPr>
        <w:t>decision</w:t>
      </w:r>
      <w:r>
        <w:rPr>
          <w:sz w:val="24"/>
          <w:szCs w:val="24"/>
        </w:rPr>
        <w:t xml:space="preserve"> arose in the mid-afternoon of that day: whether to communicate the full severity of the discrepancy to the team, or to share only what was necessary to keep them productively engaged without precipitating further anxiety. Transparency was chosen, but transparency delivered with deliberate calm and an immediate next step attached to it. </w:t>
      </w:r>
      <w:r w:rsidR="003118B5">
        <w:rPr>
          <w:sz w:val="24"/>
          <w:szCs w:val="24"/>
        </w:rPr>
        <w:t>Communication</w:t>
      </w:r>
      <w:r>
        <w:rPr>
          <w:sz w:val="24"/>
          <w:szCs w:val="24"/>
        </w:rPr>
        <w:t xml:space="preserve"> took </w:t>
      </w:r>
      <w:r w:rsidR="00BB59DC">
        <w:rPr>
          <w:sz w:val="24"/>
          <w:szCs w:val="24"/>
        </w:rPr>
        <w:t>this</w:t>
      </w:r>
      <w:r>
        <w:rPr>
          <w:sz w:val="24"/>
          <w:szCs w:val="24"/>
        </w:rPr>
        <w:t xml:space="preserve"> form: here is what is known, here is what is being done about it, and here is what each member of the team needs to focus on for the next two hours. That formulation was not derived from a framework. It emerged from instinct. But when Northouse’s (2021) account of transformational leadership</w:t>
      </w:r>
      <w:r w:rsidR="006A2802">
        <w:rPr>
          <w:sz w:val="24"/>
          <w:szCs w:val="24"/>
        </w:rPr>
        <w:t xml:space="preserve"> </w:t>
      </w:r>
      <w:proofErr w:type="spellStart"/>
      <w:r>
        <w:rPr>
          <w:sz w:val="24"/>
          <w:szCs w:val="24"/>
        </w:rPr>
        <w:t>leadership</w:t>
      </w:r>
      <w:proofErr w:type="spellEnd"/>
      <w:r>
        <w:rPr>
          <w:sz w:val="24"/>
          <w:szCs w:val="24"/>
        </w:rPr>
        <w:t xml:space="preserve"> that operates through vision and trust rather than positional authority</w:t>
      </w:r>
      <w:r w:rsidR="003118B5">
        <w:rPr>
          <w:sz w:val="24"/>
          <w:szCs w:val="24"/>
        </w:rPr>
        <w:t xml:space="preserve"> </w:t>
      </w:r>
      <w:r>
        <w:rPr>
          <w:sz w:val="24"/>
          <w:szCs w:val="24"/>
        </w:rPr>
        <w:t>was encountered in the coursework, the connection to that afternoon was immediate.</w:t>
      </w:r>
    </w:p>
    <w:p w14:paraId="1BB2BEFC" w14:textId="77777777" w:rsidR="00185516" w:rsidRDefault="00185516">
      <w:pPr>
        <w:spacing w:line="480" w:lineRule="auto"/>
      </w:pPr>
    </w:p>
    <w:p w14:paraId="3355814B" w14:textId="7F38FE04" w:rsidR="00185516" w:rsidRDefault="00000000">
      <w:pPr>
        <w:spacing w:line="480" w:lineRule="auto"/>
        <w:ind w:firstLine="720"/>
        <w:jc w:val="both"/>
      </w:pPr>
      <w:r>
        <w:rPr>
          <w:sz w:val="24"/>
          <w:szCs w:val="24"/>
        </w:rPr>
        <w:lastRenderedPageBreak/>
        <w:t>The IDS coursework formalized and deepened that instinct. A team coordination project requiring a project lead role exposed the full complexity of managing collaborative academic work across differences in working style, schedule, and engagement. Coercive authority was not available; the only tools were motivation, organization, and the kind of consistent follow-through that builds credibility over time. Mistakes were made</w:t>
      </w:r>
      <w:r w:rsidR="003118B5">
        <w:rPr>
          <w:sz w:val="24"/>
          <w:szCs w:val="24"/>
        </w:rPr>
        <w:t xml:space="preserve"> </w:t>
      </w:r>
      <w:r>
        <w:rPr>
          <w:sz w:val="24"/>
          <w:szCs w:val="24"/>
        </w:rPr>
        <w:t xml:space="preserve">communication was over-dense in some areas and insufficient in </w:t>
      </w:r>
      <w:r w:rsidR="00BB59DC">
        <w:rPr>
          <w:sz w:val="24"/>
          <w:szCs w:val="24"/>
        </w:rPr>
        <w:t>others,</w:t>
      </w:r>
      <w:r w:rsidR="003118B5">
        <w:rPr>
          <w:sz w:val="24"/>
          <w:szCs w:val="24"/>
        </w:rPr>
        <w:t xml:space="preserve"> </w:t>
      </w:r>
      <w:r>
        <w:rPr>
          <w:sz w:val="24"/>
          <w:szCs w:val="24"/>
        </w:rPr>
        <w:t xml:space="preserve">but the cumulative experience produced a clearer understanding of what effective collaborative leadership </w:t>
      </w:r>
      <w:r w:rsidR="00BB59DC">
        <w:rPr>
          <w:sz w:val="24"/>
          <w:szCs w:val="24"/>
        </w:rPr>
        <w:t>requires</w:t>
      </w:r>
      <w:r>
        <w:rPr>
          <w:sz w:val="24"/>
          <w:szCs w:val="24"/>
        </w:rPr>
        <w:t>: clarity of expectation, consistency of presence, and a genuine investment in the success of the people being led.</w:t>
      </w:r>
    </w:p>
    <w:p w14:paraId="724DF97A" w14:textId="77777777" w:rsidR="00185516" w:rsidRDefault="00185516">
      <w:pPr>
        <w:spacing w:line="480" w:lineRule="auto"/>
      </w:pPr>
    </w:p>
    <w:p w14:paraId="3468B85B" w14:textId="1E293854" w:rsidR="00185516" w:rsidRDefault="00000000">
      <w:pPr>
        <w:spacing w:line="480" w:lineRule="auto"/>
        <w:ind w:firstLine="720"/>
        <w:jc w:val="both"/>
      </w:pPr>
      <w:r>
        <w:rPr>
          <w:sz w:val="24"/>
          <w:szCs w:val="24"/>
        </w:rPr>
        <w:t>The compliance management certificate earned during this period represents the formal dimension of this competency</w:t>
      </w:r>
      <w:r w:rsidR="003118B5">
        <w:rPr>
          <w:sz w:val="24"/>
          <w:szCs w:val="24"/>
        </w:rPr>
        <w:t xml:space="preserve"> </w:t>
      </w:r>
      <w:r>
        <w:rPr>
          <w:sz w:val="24"/>
          <w:szCs w:val="24"/>
        </w:rPr>
        <w:t>the credential that signals to prospective employers that governance structures, regulatory requirements, and organizational risk frameworks have been studied at a level that qualifies participation in leadership roles. But the credential derives its meaning from the experiences that preceded and accompanied it. Leadership is not constituted by what one knows. It is demonstrated in what one does when a situation demands something that preparation did not fully anticipate.</w:t>
      </w:r>
    </w:p>
    <w:p w14:paraId="3075386D" w14:textId="77777777" w:rsidR="00185516" w:rsidRDefault="00185516">
      <w:pPr>
        <w:spacing w:line="480" w:lineRule="auto"/>
      </w:pPr>
    </w:p>
    <w:p w14:paraId="1C027E5F" w14:textId="77777777" w:rsidR="00185516" w:rsidRDefault="00000000">
      <w:pPr>
        <w:spacing w:line="480" w:lineRule="auto"/>
        <w:jc w:val="center"/>
      </w:pPr>
      <w:r>
        <w:rPr>
          <w:b/>
          <w:bCs/>
          <w:sz w:val="24"/>
          <w:szCs w:val="24"/>
        </w:rPr>
        <w:t>Building This Portfolio: Reflection as Intellectual Practice</w:t>
      </w:r>
    </w:p>
    <w:p w14:paraId="26B6D502" w14:textId="77777777" w:rsidR="00185516" w:rsidRDefault="00185516">
      <w:pPr>
        <w:spacing w:line="480" w:lineRule="auto"/>
      </w:pPr>
    </w:p>
    <w:p w14:paraId="4F16870A" w14:textId="6B9692D9" w:rsidR="00185516" w:rsidRDefault="00000000">
      <w:pPr>
        <w:spacing w:line="480" w:lineRule="auto"/>
        <w:ind w:firstLine="720"/>
        <w:jc w:val="both"/>
      </w:pPr>
      <w:r>
        <w:rPr>
          <w:sz w:val="24"/>
          <w:szCs w:val="24"/>
        </w:rPr>
        <w:t xml:space="preserve">The portfolio construction process was not anticipated to function as a learning </w:t>
      </w:r>
      <w:r w:rsidR="003118B5">
        <w:rPr>
          <w:sz w:val="24"/>
          <w:szCs w:val="24"/>
        </w:rPr>
        <w:t>experience</w:t>
      </w:r>
      <w:r>
        <w:rPr>
          <w:sz w:val="24"/>
          <w:szCs w:val="24"/>
        </w:rPr>
        <w:t xml:space="preserve">. The expectation was </w:t>
      </w:r>
      <w:r w:rsidR="00BB59DC">
        <w:rPr>
          <w:sz w:val="24"/>
          <w:szCs w:val="24"/>
        </w:rPr>
        <w:t>logistical</w:t>
      </w:r>
      <w:r>
        <w:rPr>
          <w:sz w:val="24"/>
          <w:szCs w:val="24"/>
        </w:rPr>
        <w:t xml:space="preserve">: gather artifacts, organize them by competency, write the accompanying reflections, and submit. What </w:t>
      </w:r>
      <w:r w:rsidR="003118B5">
        <w:rPr>
          <w:sz w:val="24"/>
          <w:szCs w:val="24"/>
        </w:rPr>
        <w:t>occurred</w:t>
      </w:r>
      <w:r>
        <w:rPr>
          <w:sz w:val="24"/>
          <w:szCs w:val="24"/>
        </w:rPr>
        <w:t xml:space="preserve"> was more substantive and more uncomfortable than that expectation suggested. Selecting artifacts </w:t>
      </w:r>
      <w:r w:rsidR="003118B5">
        <w:rPr>
          <w:sz w:val="24"/>
          <w:szCs w:val="24"/>
        </w:rPr>
        <w:t>requires</w:t>
      </w:r>
      <w:r>
        <w:rPr>
          <w:sz w:val="24"/>
          <w:szCs w:val="24"/>
        </w:rPr>
        <w:t xml:space="preserve"> confronting the difference between work that produces pride and work that genuinely demonstrates a competency </w:t>
      </w:r>
      <w:r>
        <w:rPr>
          <w:sz w:val="24"/>
          <w:szCs w:val="24"/>
        </w:rPr>
        <w:lastRenderedPageBreak/>
        <w:t>to an outside reader</w:t>
      </w:r>
      <w:r w:rsidR="003118B5">
        <w:rPr>
          <w:sz w:val="24"/>
          <w:szCs w:val="24"/>
        </w:rPr>
        <w:t xml:space="preserve"> </w:t>
      </w:r>
      <w:r>
        <w:rPr>
          <w:sz w:val="24"/>
          <w:szCs w:val="24"/>
        </w:rPr>
        <w:t>and those two categories do not reliably coincide. Some assignments that felt most meaningful proved difficult to contextualize for an unfamiliar audience. Some exercises initially dismissed as routine turned out, on reflection, to represent precisely the kind of evidence that a prospective employer in cybersecurity risk management would find most compelling.</w:t>
      </w:r>
    </w:p>
    <w:p w14:paraId="2E477841" w14:textId="77777777" w:rsidR="00185516" w:rsidRDefault="00185516">
      <w:pPr>
        <w:spacing w:line="480" w:lineRule="auto"/>
      </w:pPr>
    </w:p>
    <w:p w14:paraId="06DD257E" w14:textId="22BC14EA" w:rsidR="00185516" w:rsidRDefault="00000000">
      <w:pPr>
        <w:spacing w:line="480" w:lineRule="auto"/>
        <w:ind w:firstLine="720"/>
        <w:jc w:val="both"/>
      </w:pPr>
      <w:r>
        <w:rPr>
          <w:sz w:val="24"/>
          <w:szCs w:val="24"/>
        </w:rPr>
        <w:t>Zubizarreta (2009) describes the learning portfolio not as a documentation exercise but as a reflective practice that actively produces learning</w:t>
      </w:r>
      <w:r w:rsidR="006A2802">
        <w:rPr>
          <w:sz w:val="24"/>
          <w:szCs w:val="24"/>
        </w:rPr>
        <w:t xml:space="preserve"> </w:t>
      </w:r>
      <w:r>
        <w:rPr>
          <w:sz w:val="24"/>
          <w:szCs w:val="24"/>
        </w:rPr>
        <w:t>that the discipline of selecting, arranging, and narrating forces the construction of meaning that had not previously been articulated. This characterization proved accurate. Writing the reflection on the problem-solving artifacts made explicit, for the first time in fully developed form, that the analytical work performed in finance and the risk assessment work being pursued in cybersecurity are not two separate careers but two expressions of a single underlying orientation toward complexity and risk. That recognition was not available at the start of this program. It became available through sustained engagement with the portfolio process.</w:t>
      </w:r>
    </w:p>
    <w:p w14:paraId="6CF3F803" w14:textId="77777777" w:rsidR="00185516" w:rsidRDefault="00185516">
      <w:pPr>
        <w:spacing w:line="480" w:lineRule="auto"/>
      </w:pPr>
    </w:p>
    <w:p w14:paraId="667E6F7E" w14:textId="499AE928" w:rsidR="00185516" w:rsidRDefault="00000000">
      <w:pPr>
        <w:spacing w:line="480" w:lineRule="auto"/>
        <w:ind w:firstLine="720"/>
        <w:jc w:val="both"/>
      </w:pPr>
      <w:r>
        <w:rPr>
          <w:sz w:val="24"/>
          <w:szCs w:val="24"/>
        </w:rPr>
        <w:t xml:space="preserve">Newell (2010) argues that a defining outcome of interdisciplinary education is the development of metacognitive </w:t>
      </w:r>
      <w:r w:rsidR="003118B5">
        <w:rPr>
          <w:sz w:val="24"/>
          <w:szCs w:val="24"/>
        </w:rPr>
        <w:t xml:space="preserve">awareness, </w:t>
      </w:r>
      <w:r>
        <w:rPr>
          <w:sz w:val="24"/>
          <w:szCs w:val="24"/>
        </w:rPr>
        <w:t xml:space="preserve">the capacity to observe one’s own thinking, to identify which disciplinary frameworks are being applied </w:t>
      </w:r>
      <w:r w:rsidR="00BB59DC">
        <w:rPr>
          <w:sz w:val="24"/>
          <w:szCs w:val="24"/>
        </w:rPr>
        <w:t>in each</w:t>
      </w:r>
      <w:r>
        <w:rPr>
          <w:sz w:val="24"/>
          <w:szCs w:val="24"/>
        </w:rPr>
        <w:t xml:space="preserve"> moment, and to make those choices deliberately rather than by habit. Portfolio construction has been exactly that kind of metacognitive exercise, and its effects extend beyond the academic context. The self-awareness it has produced is, in a concrete and practical sense, a professional asset.</w:t>
      </w:r>
    </w:p>
    <w:p w14:paraId="1B881DE6" w14:textId="77777777" w:rsidR="00185516" w:rsidRDefault="00185516">
      <w:pPr>
        <w:spacing w:line="480" w:lineRule="auto"/>
      </w:pPr>
    </w:p>
    <w:p w14:paraId="1199887A" w14:textId="77777777" w:rsidR="003118B5" w:rsidRDefault="003118B5">
      <w:pPr>
        <w:spacing w:line="480" w:lineRule="auto"/>
        <w:jc w:val="center"/>
        <w:rPr>
          <w:b/>
          <w:bCs/>
          <w:sz w:val="24"/>
          <w:szCs w:val="24"/>
        </w:rPr>
      </w:pPr>
    </w:p>
    <w:p w14:paraId="339C4405" w14:textId="77777777" w:rsidR="003118B5" w:rsidRDefault="003118B5">
      <w:pPr>
        <w:spacing w:line="480" w:lineRule="auto"/>
        <w:jc w:val="center"/>
        <w:rPr>
          <w:b/>
          <w:bCs/>
          <w:sz w:val="24"/>
          <w:szCs w:val="24"/>
        </w:rPr>
      </w:pPr>
    </w:p>
    <w:p w14:paraId="4FEFD453" w14:textId="4A1570FC" w:rsidR="00185516" w:rsidRDefault="00000000">
      <w:pPr>
        <w:spacing w:line="480" w:lineRule="auto"/>
        <w:jc w:val="center"/>
      </w:pPr>
      <w:r>
        <w:rPr>
          <w:b/>
          <w:bCs/>
          <w:sz w:val="24"/>
          <w:szCs w:val="24"/>
        </w:rPr>
        <w:lastRenderedPageBreak/>
        <w:t>Conclusion</w:t>
      </w:r>
    </w:p>
    <w:p w14:paraId="3EB150D7" w14:textId="77777777" w:rsidR="00185516" w:rsidRDefault="00185516">
      <w:pPr>
        <w:spacing w:line="480" w:lineRule="auto"/>
      </w:pPr>
    </w:p>
    <w:p w14:paraId="33771608" w14:textId="6FA22E93" w:rsidR="00185516" w:rsidRDefault="003118B5" w:rsidP="003118B5">
      <w:pPr>
        <w:spacing w:line="480" w:lineRule="auto"/>
        <w:ind w:firstLine="720"/>
        <w:jc w:val="both"/>
      </w:pPr>
      <w:r w:rsidRPr="003118B5">
        <w:rPr>
          <w:color w:val="000000"/>
          <w:sz w:val="24"/>
        </w:rPr>
        <w:t>This IDS degree redefines how finance careers connect to cybersecurity</w:t>
      </w:r>
      <w:r w:rsidR="00BB59DC" w:rsidRPr="003118B5">
        <w:rPr>
          <w:color w:val="000000"/>
          <w:sz w:val="24"/>
        </w:rPr>
        <w:t>.</w:t>
      </w:r>
      <w:r w:rsidR="00BB59DC">
        <w:rPr>
          <w:color w:val="000000"/>
          <w:sz w:val="24"/>
        </w:rPr>
        <w:t xml:space="preserve"> </w:t>
      </w:r>
      <w:r>
        <w:rPr>
          <w:sz w:val="24"/>
          <w:szCs w:val="24"/>
        </w:rPr>
        <w:t>What had previously been understood as a sequential relationship one career ending, another beginning is now understood as a continuous one. The analytical rigor developed through financial work, the communication discipline refined through compliance writing, the leadership experience accumulated through audit management, and the comfort with regulatory frameworks built across both domains: none of this disappears in a field transition. It translates, and the interdisciplinary education received here has provided both the confidence to assert that and the framework to demonstrate it.</w:t>
      </w:r>
    </w:p>
    <w:p w14:paraId="7A950725" w14:textId="77777777" w:rsidR="00185516" w:rsidRDefault="00185516">
      <w:pPr>
        <w:spacing w:line="480" w:lineRule="auto"/>
      </w:pPr>
    </w:p>
    <w:p w14:paraId="42401944" w14:textId="6F5E6F43" w:rsidR="00185516" w:rsidRDefault="00000000">
      <w:pPr>
        <w:spacing w:line="480" w:lineRule="auto"/>
        <w:ind w:firstLine="720"/>
        <w:jc w:val="both"/>
      </w:pPr>
      <w:r>
        <w:rPr>
          <w:sz w:val="24"/>
          <w:szCs w:val="24"/>
        </w:rPr>
        <w:t>Courses such as IDS 300W contributed something specific and durable: they taught genuine participation in academic discourse, not merely consumption of it. Learning to write with scholarly precision, to situate arguments within existing research, to engage with ideas rather than only summarize them</w:t>
      </w:r>
      <w:r w:rsidR="003118B5">
        <w:rPr>
          <w:sz w:val="24"/>
          <w:szCs w:val="24"/>
        </w:rPr>
        <w:t xml:space="preserve"> </w:t>
      </w:r>
      <w:r>
        <w:rPr>
          <w:sz w:val="24"/>
          <w:szCs w:val="24"/>
        </w:rPr>
        <w:t>these capacities will make any professional communication more rigorous and more credible. Cybersecurity risk management is a field in which written communication regularly carries high stakes. Every risk assessment, every compliance report, every board briefing is an argument: here is the evidence, here is the analysis, here is the recommendation, and here is the reasoning that supports it. The skills developed in this program are directly applicable to that work.</w:t>
      </w:r>
    </w:p>
    <w:p w14:paraId="3016253D" w14:textId="77777777" w:rsidR="00185516" w:rsidRDefault="00185516">
      <w:pPr>
        <w:spacing w:line="480" w:lineRule="auto"/>
      </w:pPr>
    </w:p>
    <w:p w14:paraId="5C9F5F56" w14:textId="1F3EC7D1" w:rsidR="00185516" w:rsidRDefault="00000000">
      <w:pPr>
        <w:spacing w:line="480" w:lineRule="auto"/>
        <w:ind w:firstLine="720"/>
        <w:jc w:val="both"/>
      </w:pPr>
      <w:r>
        <w:rPr>
          <w:sz w:val="24"/>
          <w:szCs w:val="24"/>
        </w:rPr>
        <w:t xml:space="preserve">The </w:t>
      </w:r>
      <w:r w:rsidR="003118B5">
        <w:rPr>
          <w:sz w:val="24"/>
          <w:szCs w:val="24"/>
        </w:rPr>
        <w:t>professionals</w:t>
      </w:r>
      <w:r>
        <w:rPr>
          <w:sz w:val="24"/>
          <w:szCs w:val="24"/>
        </w:rPr>
        <w:t xml:space="preserve"> who began this program and the one completing it are not identical. The interdisciplinary habit of mind</w:t>
      </w:r>
      <w:r w:rsidR="003118B5">
        <w:rPr>
          <w:sz w:val="24"/>
          <w:szCs w:val="24"/>
        </w:rPr>
        <w:t xml:space="preserve"> </w:t>
      </w:r>
      <w:r>
        <w:rPr>
          <w:sz w:val="24"/>
          <w:szCs w:val="24"/>
        </w:rPr>
        <w:t>the sustained refusal to treat any complex problem as the exclusive property of a single discipline</w:t>
      </w:r>
      <w:r w:rsidR="003118B5">
        <w:rPr>
          <w:sz w:val="24"/>
          <w:szCs w:val="24"/>
        </w:rPr>
        <w:t xml:space="preserve"> </w:t>
      </w:r>
      <w:r>
        <w:rPr>
          <w:sz w:val="24"/>
          <w:szCs w:val="24"/>
        </w:rPr>
        <w:t xml:space="preserve">is now genuinely constitutive of how problems are approached. That </w:t>
      </w:r>
      <w:r>
        <w:rPr>
          <w:sz w:val="24"/>
          <w:szCs w:val="24"/>
        </w:rPr>
        <w:lastRenderedPageBreak/>
        <w:t>is the outcome that matters most, and it is the one that resists easy enumeration on a résumé while manifesting in everything that follows.</w:t>
      </w:r>
    </w:p>
    <w:p w14:paraId="69195FB3" w14:textId="77777777" w:rsidR="00185516" w:rsidRDefault="00185516">
      <w:pPr>
        <w:spacing w:line="480" w:lineRule="auto"/>
      </w:pPr>
    </w:p>
    <w:p w14:paraId="0D7940BB" w14:textId="77777777" w:rsidR="00185516" w:rsidRDefault="00185516">
      <w:pPr>
        <w:spacing w:line="480" w:lineRule="auto"/>
      </w:pPr>
    </w:p>
    <w:p w14:paraId="7FB4EC38" w14:textId="77777777" w:rsidR="00185516" w:rsidRDefault="00185516">
      <w:pPr>
        <w:spacing w:line="480" w:lineRule="auto"/>
      </w:pPr>
    </w:p>
    <w:p w14:paraId="5AD71994" w14:textId="77777777" w:rsidR="00185516" w:rsidRDefault="00185516">
      <w:pPr>
        <w:spacing w:line="480" w:lineRule="auto"/>
      </w:pPr>
    </w:p>
    <w:p w14:paraId="399DA609" w14:textId="77777777" w:rsidR="003118B5" w:rsidRDefault="003118B5">
      <w:pPr>
        <w:spacing w:line="480" w:lineRule="auto"/>
        <w:jc w:val="center"/>
        <w:rPr>
          <w:b/>
          <w:bCs/>
          <w:sz w:val="24"/>
          <w:szCs w:val="24"/>
        </w:rPr>
      </w:pPr>
    </w:p>
    <w:p w14:paraId="064333C9" w14:textId="77777777" w:rsidR="003118B5" w:rsidRDefault="003118B5">
      <w:pPr>
        <w:spacing w:line="480" w:lineRule="auto"/>
        <w:jc w:val="center"/>
        <w:rPr>
          <w:b/>
          <w:bCs/>
          <w:sz w:val="24"/>
          <w:szCs w:val="24"/>
        </w:rPr>
      </w:pPr>
    </w:p>
    <w:p w14:paraId="6A13257F" w14:textId="77777777" w:rsidR="003118B5" w:rsidRDefault="003118B5">
      <w:pPr>
        <w:spacing w:line="480" w:lineRule="auto"/>
        <w:jc w:val="center"/>
        <w:rPr>
          <w:b/>
          <w:bCs/>
          <w:sz w:val="24"/>
          <w:szCs w:val="24"/>
        </w:rPr>
      </w:pPr>
    </w:p>
    <w:p w14:paraId="38FBC1AE" w14:textId="77777777" w:rsidR="003118B5" w:rsidRDefault="003118B5">
      <w:pPr>
        <w:spacing w:line="480" w:lineRule="auto"/>
        <w:jc w:val="center"/>
        <w:rPr>
          <w:b/>
          <w:bCs/>
          <w:sz w:val="24"/>
          <w:szCs w:val="24"/>
        </w:rPr>
      </w:pPr>
    </w:p>
    <w:p w14:paraId="59AAE4D7" w14:textId="77777777" w:rsidR="003118B5" w:rsidRDefault="003118B5">
      <w:pPr>
        <w:spacing w:line="480" w:lineRule="auto"/>
        <w:jc w:val="center"/>
        <w:rPr>
          <w:b/>
          <w:bCs/>
          <w:sz w:val="24"/>
          <w:szCs w:val="24"/>
        </w:rPr>
      </w:pPr>
    </w:p>
    <w:p w14:paraId="5C9C5849" w14:textId="77777777" w:rsidR="003118B5" w:rsidRDefault="003118B5">
      <w:pPr>
        <w:spacing w:line="480" w:lineRule="auto"/>
        <w:jc w:val="center"/>
        <w:rPr>
          <w:b/>
          <w:bCs/>
          <w:sz w:val="24"/>
          <w:szCs w:val="24"/>
        </w:rPr>
      </w:pPr>
    </w:p>
    <w:p w14:paraId="4981F1EB" w14:textId="77777777" w:rsidR="003118B5" w:rsidRDefault="003118B5">
      <w:pPr>
        <w:spacing w:line="480" w:lineRule="auto"/>
        <w:jc w:val="center"/>
        <w:rPr>
          <w:b/>
          <w:bCs/>
          <w:sz w:val="24"/>
          <w:szCs w:val="24"/>
        </w:rPr>
      </w:pPr>
    </w:p>
    <w:p w14:paraId="11B6DE4B" w14:textId="77777777" w:rsidR="003118B5" w:rsidRDefault="003118B5">
      <w:pPr>
        <w:spacing w:line="480" w:lineRule="auto"/>
        <w:jc w:val="center"/>
        <w:rPr>
          <w:b/>
          <w:bCs/>
          <w:sz w:val="24"/>
          <w:szCs w:val="24"/>
        </w:rPr>
      </w:pPr>
    </w:p>
    <w:p w14:paraId="0F8A2B23" w14:textId="77777777" w:rsidR="003118B5" w:rsidRDefault="003118B5">
      <w:pPr>
        <w:spacing w:line="480" w:lineRule="auto"/>
        <w:jc w:val="center"/>
        <w:rPr>
          <w:b/>
          <w:bCs/>
          <w:sz w:val="24"/>
          <w:szCs w:val="24"/>
        </w:rPr>
      </w:pPr>
    </w:p>
    <w:p w14:paraId="665DC3D9" w14:textId="77777777" w:rsidR="003118B5" w:rsidRDefault="003118B5">
      <w:pPr>
        <w:spacing w:line="480" w:lineRule="auto"/>
        <w:jc w:val="center"/>
        <w:rPr>
          <w:b/>
          <w:bCs/>
          <w:sz w:val="24"/>
          <w:szCs w:val="24"/>
        </w:rPr>
      </w:pPr>
    </w:p>
    <w:p w14:paraId="4F2776C1" w14:textId="77777777" w:rsidR="003118B5" w:rsidRDefault="003118B5">
      <w:pPr>
        <w:spacing w:line="480" w:lineRule="auto"/>
        <w:jc w:val="center"/>
        <w:rPr>
          <w:b/>
          <w:bCs/>
          <w:sz w:val="24"/>
          <w:szCs w:val="24"/>
        </w:rPr>
      </w:pPr>
    </w:p>
    <w:p w14:paraId="0116FDE6" w14:textId="77777777" w:rsidR="003118B5" w:rsidRDefault="003118B5">
      <w:pPr>
        <w:spacing w:line="480" w:lineRule="auto"/>
        <w:jc w:val="center"/>
        <w:rPr>
          <w:b/>
          <w:bCs/>
          <w:sz w:val="24"/>
          <w:szCs w:val="24"/>
        </w:rPr>
      </w:pPr>
    </w:p>
    <w:p w14:paraId="13A47A5B" w14:textId="77777777" w:rsidR="003118B5" w:rsidRDefault="003118B5">
      <w:pPr>
        <w:spacing w:line="480" w:lineRule="auto"/>
        <w:jc w:val="center"/>
        <w:rPr>
          <w:b/>
          <w:bCs/>
          <w:sz w:val="24"/>
          <w:szCs w:val="24"/>
        </w:rPr>
      </w:pPr>
    </w:p>
    <w:p w14:paraId="3F612246" w14:textId="77777777" w:rsidR="003118B5" w:rsidRDefault="003118B5">
      <w:pPr>
        <w:spacing w:line="480" w:lineRule="auto"/>
        <w:jc w:val="center"/>
        <w:rPr>
          <w:b/>
          <w:bCs/>
          <w:sz w:val="24"/>
          <w:szCs w:val="24"/>
        </w:rPr>
      </w:pPr>
    </w:p>
    <w:p w14:paraId="416C0F25" w14:textId="77777777" w:rsidR="003118B5" w:rsidRDefault="003118B5">
      <w:pPr>
        <w:spacing w:line="480" w:lineRule="auto"/>
        <w:jc w:val="center"/>
        <w:rPr>
          <w:b/>
          <w:bCs/>
          <w:sz w:val="24"/>
          <w:szCs w:val="24"/>
        </w:rPr>
      </w:pPr>
    </w:p>
    <w:p w14:paraId="7EDD9449" w14:textId="77777777" w:rsidR="003118B5" w:rsidRDefault="003118B5">
      <w:pPr>
        <w:spacing w:line="480" w:lineRule="auto"/>
        <w:jc w:val="center"/>
        <w:rPr>
          <w:b/>
          <w:bCs/>
          <w:sz w:val="24"/>
          <w:szCs w:val="24"/>
        </w:rPr>
      </w:pPr>
    </w:p>
    <w:p w14:paraId="1E701244" w14:textId="77777777" w:rsidR="003118B5" w:rsidRDefault="003118B5">
      <w:pPr>
        <w:spacing w:line="480" w:lineRule="auto"/>
        <w:jc w:val="center"/>
        <w:rPr>
          <w:b/>
          <w:bCs/>
          <w:sz w:val="24"/>
          <w:szCs w:val="24"/>
        </w:rPr>
      </w:pPr>
    </w:p>
    <w:p w14:paraId="69BB49EC" w14:textId="77777777" w:rsidR="003118B5" w:rsidRDefault="003118B5">
      <w:pPr>
        <w:spacing w:line="480" w:lineRule="auto"/>
        <w:jc w:val="center"/>
        <w:rPr>
          <w:b/>
          <w:bCs/>
          <w:sz w:val="24"/>
          <w:szCs w:val="24"/>
        </w:rPr>
      </w:pPr>
    </w:p>
    <w:p w14:paraId="08FD18B6" w14:textId="4C796F9A" w:rsidR="00185516" w:rsidRDefault="00000000">
      <w:pPr>
        <w:spacing w:line="480" w:lineRule="auto"/>
        <w:jc w:val="center"/>
      </w:pPr>
      <w:r>
        <w:rPr>
          <w:b/>
          <w:bCs/>
          <w:sz w:val="24"/>
          <w:szCs w:val="24"/>
        </w:rPr>
        <w:lastRenderedPageBreak/>
        <w:t>References</w:t>
      </w:r>
    </w:p>
    <w:p w14:paraId="70A9BEB4" w14:textId="77777777" w:rsidR="00185516" w:rsidRDefault="00185516">
      <w:pPr>
        <w:spacing w:line="480" w:lineRule="auto"/>
      </w:pPr>
    </w:p>
    <w:p w14:paraId="3B05EF42" w14:textId="5A3FE294" w:rsidR="00185516" w:rsidRDefault="00000000">
      <w:pPr>
        <w:spacing w:line="480" w:lineRule="auto"/>
        <w:ind w:left="720" w:hanging="720"/>
      </w:pPr>
      <w:r>
        <w:rPr>
          <w:sz w:val="24"/>
          <w:szCs w:val="24"/>
        </w:rPr>
        <w:t>Bada, M., &amp; Sasse, A. (2014). Cyber security awareness campaigns: Why do they fail to change behaviour</w:t>
      </w:r>
      <w:r w:rsidR="00BB59DC">
        <w:rPr>
          <w:sz w:val="24"/>
          <w:szCs w:val="24"/>
        </w:rPr>
        <w:t xml:space="preserve">? </w:t>
      </w:r>
      <w:r>
        <w:rPr>
          <w:sz w:val="24"/>
          <w:szCs w:val="24"/>
        </w:rPr>
        <w:t>https://arxiv.org/abs/1901.02672</w:t>
      </w:r>
    </w:p>
    <w:p w14:paraId="6DB89828" w14:textId="77777777" w:rsidR="00185516" w:rsidRDefault="00185516">
      <w:pPr>
        <w:spacing w:line="480" w:lineRule="auto"/>
      </w:pPr>
    </w:p>
    <w:p w14:paraId="5DB226EC" w14:textId="5DF6269D" w:rsidR="00185516" w:rsidRDefault="00000000">
      <w:pPr>
        <w:spacing w:line="480" w:lineRule="auto"/>
        <w:ind w:left="720" w:hanging="720"/>
      </w:pPr>
      <w:r>
        <w:rPr>
          <w:sz w:val="24"/>
          <w:szCs w:val="24"/>
        </w:rPr>
        <w:t xml:space="preserve">Kyvik, S. (2014). Interdisciplinary </w:t>
      </w:r>
      <w:r w:rsidR="003118B5">
        <w:rPr>
          <w:sz w:val="24"/>
          <w:szCs w:val="24"/>
        </w:rPr>
        <w:t>research</w:t>
      </w:r>
      <w:r>
        <w:rPr>
          <w:sz w:val="24"/>
          <w:szCs w:val="24"/>
        </w:rPr>
        <w:t xml:space="preserve"> philosophical and sociological analysis. In R. Frodeman, J. T. Klein, &amp; R. C. S. Pacheco (Eds.), The Oxford handbook of interdisciplinarity (2nd ed., pp. 3–18). Oxford University Press.</w:t>
      </w:r>
    </w:p>
    <w:p w14:paraId="168C1742" w14:textId="77777777" w:rsidR="00185516" w:rsidRDefault="00185516">
      <w:pPr>
        <w:spacing w:line="480" w:lineRule="auto"/>
      </w:pPr>
    </w:p>
    <w:p w14:paraId="17650B8E" w14:textId="77777777" w:rsidR="00185516" w:rsidRDefault="00000000">
      <w:pPr>
        <w:spacing w:line="480" w:lineRule="auto"/>
        <w:ind w:left="720" w:hanging="720"/>
      </w:pPr>
      <w:r>
        <w:rPr>
          <w:sz w:val="24"/>
          <w:szCs w:val="24"/>
        </w:rPr>
        <w:t>Newell, W. H. (2010). Undergraduate general education. In R. Frodeman, J. T. Klein, &amp; R. C. S. Pacheco (Eds.), The Oxford handbook of interdisciplinarity (pp. 360–371). Oxford University Press.</w:t>
      </w:r>
    </w:p>
    <w:p w14:paraId="1A79127E" w14:textId="77777777" w:rsidR="00185516" w:rsidRDefault="00185516">
      <w:pPr>
        <w:spacing w:line="480" w:lineRule="auto"/>
      </w:pPr>
    </w:p>
    <w:p w14:paraId="31C71F53" w14:textId="77777777" w:rsidR="00185516" w:rsidRDefault="00000000">
      <w:pPr>
        <w:spacing w:line="480" w:lineRule="auto"/>
        <w:ind w:left="720" w:hanging="720"/>
      </w:pPr>
      <w:r>
        <w:rPr>
          <w:sz w:val="24"/>
          <w:szCs w:val="24"/>
        </w:rPr>
        <w:t>Northouse, P. G. (2021). Leadership: Theory and practice (9th ed.). SAGE Publications.</w:t>
      </w:r>
    </w:p>
    <w:p w14:paraId="3F098BCB" w14:textId="77777777" w:rsidR="00185516" w:rsidRDefault="00185516">
      <w:pPr>
        <w:spacing w:line="480" w:lineRule="auto"/>
      </w:pPr>
    </w:p>
    <w:p w14:paraId="6C44C003" w14:textId="77777777" w:rsidR="00185516" w:rsidRDefault="00000000">
      <w:pPr>
        <w:spacing w:line="480" w:lineRule="auto"/>
        <w:ind w:left="720" w:hanging="720"/>
      </w:pPr>
      <w:r>
        <w:rPr>
          <w:sz w:val="24"/>
          <w:szCs w:val="24"/>
        </w:rPr>
        <w:t>Repko, A. F., &amp; Szostak, R. (2017). Interdisciplinary research: Process and theory (3rd ed.). SAGE Publications.</w:t>
      </w:r>
    </w:p>
    <w:p w14:paraId="2487280E" w14:textId="77777777" w:rsidR="00185516" w:rsidRDefault="00185516">
      <w:pPr>
        <w:spacing w:line="480" w:lineRule="auto"/>
      </w:pPr>
    </w:p>
    <w:p w14:paraId="70186964" w14:textId="77777777" w:rsidR="00185516" w:rsidRDefault="00000000">
      <w:pPr>
        <w:spacing w:line="480" w:lineRule="auto"/>
        <w:ind w:left="720" w:hanging="720"/>
      </w:pPr>
      <w:r>
        <w:rPr>
          <w:sz w:val="24"/>
          <w:szCs w:val="24"/>
        </w:rPr>
        <w:t>Zubizarreta, J. (2009). The learning portfolio: Reflective practice for improving student learning (2nd ed.). Jossey-Bass.</w:t>
      </w:r>
    </w:p>
    <w:sectPr w:rsidR="00185516">
      <w:head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77CA2" w14:textId="77777777" w:rsidR="00E5233B" w:rsidRDefault="00E5233B">
      <w:r>
        <w:separator/>
      </w:r>
    </w:p>
  </w:endnote>
  <w:endnote w:type="continuationSeparator" w:id="0">
    <w:p w14:paraId="116B257E" w14:textId="77777777" w:rsidR="00E5233B" w:rsidRDefault="00E52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4F003" w14:textId="77777777" w:rsidR="00E5233B" w:rsidRDefault="00E5233B">
      <w:r>
        <w:separator/>
      </w:r>
    </w:p>
  </w:footnote>
  <w:footnote w:type="continuationSeparator" w:id="0">
    <w:p w14:paraId="14403218" w14:textId="77777777" w:rsidR="00E5233B" w:rsidRDefault="00E52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4D5D" w14:textId="77777777" w:rsidR="00185516" w:rsidRDefault="00000000">
    <w:pPr>
      <w:tabs>
        <w:tab w:val="right" w:pos="9360"/>
      </w:tabs>
    </w:pPr>
    <w:r>
      <w:rPr>
        <w:sz w:val="24"/>
        <w:szCs w:val="24"/>
      </w:rPr>
      <w:t>Running head: BRIDGING DISCIPLINES</w:t>
    </w:r>
    <w:r>
      <w:rPr>
        <w:sz w:val="24"/>
        <w:szCs w:val="24"/>
      </w:rPr>
      <w:tab/>
    </w:r>
    <w:r>
      <w:rPr>
        <w:sz w:val="24"/>
        <w:szCs w:val="24"/>
      </w:rPr>
      <w:fldChar w:fldCharType="begin"/>
    </w:r>
    <w:r>
      <w:rPr>
        <w:sz w:val="24"/>
        <w:szCs w:val="24"/>
      </w:rPr>
      <w:instrText>PAGE</w:instrText>
    </w:r>
    <w:r>
      <w:rPr>
        <w:sz w:val="24"/>
        <w:szCs w:val="24"/>
      </w:rPr>
      <w:fldChar w:fldCharType="separate"/>
    </w:r>
    <w:r w:rsidR="003118B5">
      <w:rPr>
        <w:noProof/>
        <w:sz w:val="24"/>
        <w:szCs w:val="24"/>
      </w:rPr>
      <w:t>1</w:t>
    </w:r>
    <w:r>
      <w:rPr>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DD3E" w14:textId="77777777" w:rsidR="00185516" w:rsidRDefault="00000000">
    <w:pPr>
      <w:tabs>
        <w:tab w:val="right" w:pos="9360"/>
      </w:tabs>
    </w:pPr>
    <w:r>
      <w:rPr>
        <w:sz w:val="24"/>
        <w:szCs w:val="24"/>
      </w:rPr>
      <w:t>BRIDGING DISCIPLINES</w:t>
    </w:r>
    <w:r>
      <w:rPr>
        <w:sz w:val="24"/>
        <w:szCs w:val="24"/>
      </w:rPr>
      <w:tab/>
    </w:r>
    <w:r>
      <w:rPr>
        <w:sz w:val="24"/>
        <w:szCs w:val="24"/>
      </w:rPr>
      <w:fldChar w:fldCharType="begin"/>
    </w:r>
    <w:r>
      <w:rPr>
        <w:sz w:val="24"/>
        <w:szCs w:val="24"/>
      </w:rPr>
      <w:instrText>PAGE</w:instrText>
    </w:r>
    <w:r>
      <w:rPr>
        <w:sz w:val="24"/>
        <w:szCs w:val="24"/>
      </w:rPr>
      <w:fldChar w:fldCharType="separate"/>
    </w:r>
    <w:r w:rsidR="003118B5">
      <w:rPr>
        <w:noProof/>
        <w:sz w:val="24"/>
        <w:szCs w:val="24"/>
      </w:rPr>
      <w:t>2</w:t>
    </w:r>
    <w:r>
      <w:rPr>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BCA7A" w14:textId="45B30978" w:rsidR="00185516" w:rsidRDefault="00000000">
    <w:pPr>
      <w:tabs>
        <w:tab w:val="right" w:pos="9360"/>
      </w:tabs>
    </w:pPr>
    <w:r>
      <w:rPr>
        <w:sz w:val="24"/>
        <w:szCs w:val="24"/>
      </w:rPr>
      <w:t>BRIDGING DISCIPLINES</w:t>
    </w:r>
    <w:r>
      <w:rPr>
        <w:sz w:val="24"/>
        <w:szCs w:val="24"/>
      </w:rPr>
      <w:tab/>
    </w:r>
    <w:r>
      <w:rPr>
        <w:sz w:val="24"/>
        <w:szCs w:val="24"/>
      </w:rPr>
      <w:fldChar w:fldCharType="begin"/>
    </w:r>
    <w:r>
      <w:rPr>
        <w:sz w:val="24"/>
        <w:szCs w:val="24"/>
      </w:rPr>
      <w:instrText>PAGE</w:instrText>
    </w:r>
    <w:r>
      <w:rPr>
        <w:sz w:val="24"/>
        <w:szCs w:val="24"/>
      </w:rPr>
      <w:fldChar w:fldCharType="separate"/>
    </w:r>
    <w:r w:rsidR="003118B5">
      <w:rPr>
        <w:noProof/>
        <w:sz w:val="24"/>
        <w:szCs w:val="24"/>
      </w:rPr>
      <w:t>3</w:t>
    </w:r>
    <w:r>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72209"/>
    <w:multiLevelType w:val="hybridMultilevel"/>
    <w:tmpl w:val="D06097B0"/>
    <w:lvl w:ilvl="0" w:tplc="A738BD74">
      <w:start w:val="1"/>
      <w:numFmt w:val="bullet"/>
      <w:lvlText w:val="●"/>
      <w:lvlJc w:val="left"/>
      <w:pPr>
        <w:ind w:left="720" w:hanging="360"/>
      </w:pPr>
    </w:lvl>
    <w:lvl w:ilvl="1" w:tplc="8EC6B998">
      <w:start w:val="1"/>
      <w:numFmt w:val="bullet"/>
      <w:lvlText w:val="○"/>
      <w:lvlJc w:val="left"/>
      <w:pPr>
        <w:ind w:left="1440" w:hanging="360"/>
      </w:pPr>
    </w:lvl>
    <w:lvl w:ilvl="2" w:tplc="7DEA053C">
      <w:start w:val="1"/>
      <w:numFmt w:val="bullet"/>
      <w:lvlText w:val="■"/>
      <w:lvlJc w:val="left"/>
      <w:pPr>
        <w:ind w:left="2160" w:hanging="360"/>
      </w:pPr>
    </w:lvl>
    <w:lvl w:ilvl="3" w:tplc="1F267D8E">
      <w:start w:val="1"/>
      <w:numFmt w:val="bullet"/>
      <w:lvlText w:val="●"/>
      <w:lvlJc w:val="left"/>
      <w:pPr>
        <w:ind w:left="2880" w:hanging="360"/>
      </w:pPr>
    </w:lvl>
    <w:lvl w:ilvl="4" w:tplc="0FAEF402">
      <w:start w:val="1"/>
      <w:numFmt w:val="bullet"/>
      <w:lvlText w:val="○"/>
      <w:lvlJc w:val="left"/>
      <w:pPr>
        <w:ind w:left="3600" w:hanging="360"/>
      </w:pPr>
    </w:lvl>
    <w:lvl w:ilvl="5" w:tplc="9EB0690A">
      <w:start w:val="1"/>
      <w:numFmt w:val="bullet"/>
      <w:lvlText w:val="■"/>
      <w:lvlJc w:val="left"/>
      <w:pPr>
        <w:ind w:left="4320" w:hanging="360"/>
      </w:pPr>
    </w:lvl>
    <w:lvl w:ilvl="6" w:tplc="361ACA7C">
      <w:start w:val="1"/>
      <w:numFmt w:val="bullet"/>
      <w:lvlText w:val="●"/>
      <w:lvlJc w:val="left"/>
      <w:pPr>
        <w:ind w:left="5040" w:hanging="360"/>
      </w:pPr>
    </w:lvl>
    <w:lvl w:ilvl="7" w:tplc="80E2F5BA">
      <w:start w:val="1"/>
      <w:numFmt w:val="bullet"/>
      <w:lvlText w:val="●"/>
      <w:lvlJc w:val="left"/>
      <w:pPr>
        <w:ind w:left="5760" w:hanging="360"/>
      </w:pPr>
    </w:lvl>
    <w:lvl w:ilvl="8" w:tplc="7C6822A8">
      <w:start w:val="1"/>
      <w:numFmt w:val="bullet"/>
      <w:lvlText w:val="●"/>
      <w:lvlJc w:val="left"/>
      <w:pPr>
        <w:ind w:left="6480" w:hanging="360"/>
      </w:pPr>
    </w:lvl>
  </w:abstractNum>
  <w:num w:numId="1" w16cid:durableId="17116100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516"/>
    <w:rsid w:val="00172BD3"/>
    <w:rsid w:val="00185516"/>
    <w:rsid w:val="003118B5"/>
    <w:rsid w:val="004436C4"/>
    <w:rsid w:val="006A2802"/>
    <w:rsid w:val="006F7413"/>
    <w:rsid w:val="00942D94"/>
    <w:rsid w:val="00BB59DC"/>
    <w:rsid w:val="00E52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E5657"/>
  <w15:docId w15:val="{DC8E638F-51A7-48C8-8AEA-28D427CF0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2515</Words>
  <Characters>14337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Jake Asare</cp:lastModifiedBy>
  <cp:revision>2</cp:revision>
  <dcterms:created xsi:type="dcterms:W3CDTF">2026-05-04T19:49:00Z</dcterms:created>
  <dcterms:modified xsi:type="dcterms:W3CDTF">2026-05-04T19:49:00Z</dcterms:modified>
</cp:coreProperties>
</file>